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4F925B" w14:textId="77777777" w:rsidR="00252BB5" w:rsidRDefault="00252BB5" w:rsidP="00252BB5">
      <w:pPr>
        <w:spacing w:before="240" w:after="240" w:line="360" w:lineRule="auto"/>
        <w:jc w:val="center"/>
        <w:rPr>
          <w:b/>
          <w:sz w:val="24"/>
          <w:szCs w:val="24"/>
        </w:rPr>
      </w:pPr>
      <w:r>
        <w:rPr>
          <w:b/>
          <w:sz w:val="24"/>
          <w:szCs w:val="24"/>
        </w:rPr>
        <w:t>TEMPORAL ANALYSIS OF VEGETATION LOSS IN OBUASI USING NORMALIZED DIFFERENCE VEGETATION INDEX DATA FROM 1990 TO 2024</w:t>
      </w:r>
    </w:p>
    <w:p w14:paraId="49AE8181" w14:textId="77777777" w:rsidR="00252BB5" w:rsidRDefault="00252BB5" w:rsidP="00252BB5">
      <w:pPr>
        <w:spacing w:before="240" w:after="240"/>
        <w:jc w:val="center"/>
        <w:rPr>
          <w:sz w:val="24"/>
          <w:szCs w:val="24"/>
          <w:u w:val="single"/>
        </w:rPr>
      </w:pPr>
      <w:r>
        <w:rPr>
          <w:sz w:val="24"/>
          <w:szCs w:val="24"/>
          <w:u w:val="single"/>
        </w:rPr>
        <w:t>Blessed A. Appiah</w:t>
      </w:r>
    </w:p>
    <w:p w14:paraId="46AB008A" w14:textId="77777777" w:rsidR="00252BB5" w:rsidRDefault="00252BB5" w:rsidP="00252BB5">
      <w:pPr>
        <w:spacing w:before="240" w:after="240"/>
        <w:jc w:val="center"/>
        <w:rPr>
          <w:b/>
        </w:rPr>
      </w:pPr>
      <w:r>
        <w:rPr>
          <w:i/>
        </w:rPr>
        <w:t>Kwame Nkrumah University of Science and Technology, Kumasi</w:t>
      </w:r>
    </w:p>
    <w:p w14:paraId="29407D55" w14:textId="77777777" w:rsidR="00252BB5" w:rsidRDefault="00252BB5" w:rsidP="00252BB5">
      <w:pPr>
        <w:pStyle w:val="Heading1"/>
        <w:spacing w:before="240" w:after="240"/>
        <w:jc w:val="both"/>
      </w:pPr>
      <w:bookmarkStart w:id="0" w:name="_2eui53dnea0i" w:colFirst="0" w:colLast="0"/>
      <w:bookmarkEnd w:id="0"/>
      <w:r>
        <w:t>Abstract</w:t>
      </w:r>
    </w:p>
    <w:p w14:paraId="2A14FF7F" w14:textId="77777777" w:rsidR="00252BB5" w:rsidRDefault="00252BB5" w:rsidP="00252BB5">
      <w:pPr>
        <w:spacing w:before="240" w:after="240"/>
        <w:jc w:val="both"/>
      </w:pPr>
      <w:r>
        <w:t>This study is a geospatial and temporal analysis of environmental changes, particularly vegetation loss, and its implications for sustainable development and policy planning in Obuasi. It examines vegetation loss in Obuasi, Ghana, over a period of 34 years, from 1990 to 2024, utilizing the Normalized Difference Vegetation Index (NDVI) analyzed from Landsat satellite imagery downloaded from  USGS Earth Explorer and preprocessed to ensure consistency and accuracy in the analysis.</w:t>
      </w:r>
    </w:p>
    <w:p w14:paraId="029A67E8" w14:textId="77777777" w:rsidR="00252BB5" w:rsidRDefault="00252BB5" w:rsidP="00252BB5">
      <w:pPr>
        <w:spacing w:before="240" w:after="240"/>
        <w:jc w:val="both"/>
      </w:pPr>
      <w:r>
        <w:t>The goal of the study  is to assess changes in vegetation cover and health and understand the impact of anthropogenic activities and urban expansion on the local ecosystem to inform sustainable land management practices. NDVI serves as a crucial metric for assessing vegetation density and distribution. The research focuses on five key years—1990, 2000, 2010, 2020, and 2024—to analyze spatial and temporal changes in vegetation cover using Geographic Information Systems (GIS) tools. The findings reveal significant variations in vegetation cover, with a noticeable decline in high vegetation areas and an increase in low vegetation zones, indicating substantial environmental degradation. These changes are largely attributed to urban expansion and other human activities like the increase in activities of illegal miners. The pictorial representation of the process of vegetation loss is essential in order to fully appreciate the urgency of land reclamation and afforestation actions and policies. The implications of these findings reveal the urgent need to implement sustainable land management practices to mitigate further vegetation loss and support local environmental conservation efforts. This research contributes to a deeper understanding of land cover dynamics and provides valuable insights for environmental planners and policymakers, aiding in the development of strategies to combat ecological stress and promote conservation in rapidly growing regions.</w:t>
      </w:r>
    </w:p>
    <w:p w14:paraId="7890EEAB" w14:textId="77777777" w:rsidR="00252BB5" w:rsidRDefault="00252BB5" w:rsidP="00252BB5">
      <w:pPr>
        <w:spacing w:before="240" w:after="240"/>
        <w:jc w:val="both"/>
      </w:pPr>
    </w:p>
    <w:p w14:paraId="6B210996" w14:textId="77777777" w:rsidR="00252BB5" w:rsidRDefault="00252BB5" w:rsidP="00252BB5">
      <w:pPr>
        <w:spacing w:before="240" w:after="240"/>
        <w:jc w:val="both"/>
        <w:rPr>
          <w:b/>
        </w:rPr>
      </w:pPr>
    </w:p>
    <w:p w14:paraId="6D79ACCF" w14:textId="77777777" w:rsidR="00252BB5" w:rsidRDefault="00252BB5" w:rsidP="00252BB5">
      <w:pPr>
        <w:spacing w:before="240" w:after="240"/>
        <w:jc w:val="both"/>
      </w:pPr>
      <w:r>
        <w:rPr>
          <w:b/>
        </w:rPr>
        <w:t>Keywords:</w:t>
      </w:r>
      <w:r>
        <w:t xml:space="preserve"> Temporal analysis, vegetation cover, GIS (Geographic Information Systems), NDVI (Normalized Difference Vegetation Index), conservation, natural resource.</w:t>
      </w:r>
    </w:p>
    <w:p w14:paraId="6FE78200" w14:textId="77777777" w:rsidR="00252BB5" w:rsidRDefault="00252BB5" w:rsidP="00252BB5">
      <w:pPr>
        <w:jc w:val="both"/>
      </w:pPr>
      <w:r>
        <w:t>Blessed Appiah:  Tel.: + 233 55 1082276 ; E-mail address: appiahblessed5@gmail.com</w:t>
      </w:r>
    </w:p>
    <w:p w14:paraId="1F731D22" w14:textId="77777777" w:rsidR="00252BB5" w:rsidRDefault="00252BB5" w:rsidP="00252BB5">
      <w:pPr>
        <w:jc w:val="both"/>
        <w:rPr>
          <w:i/>
        </w:rPr>
      </w:pPr>
    </w:p>
    <w:p w14:paraId="1E3160D1" w14:textId="77777777" w:rsidR="00252BB5" w:rsidRDefault="00252BB5" w:rsidP="00252BB5">
      <w:pPr>
        <w:jc w:val="both"/>
        <w:rPr>
          <w:i/>
        </w:rPr>
      </w:pPr>
    </w:p>
    <w:p w14:paraId="675C05FE" w14:textId="77777777" w:rsidR="00252BB5" w:rsidRDefault="00252BB5" w:rsidP="00252BB5">
      <w:pPr>
        <w:jc w:val="both"/>
        <w:rPr>
          <w:i/>
        </w:rPr>
      </w:pPr>
    </w:p>
    <w:p w14:paraId="505ED9D5" w14:textId="77777777" w:rsidR="00252BB5" w:rsidRDefault="00252BB5" w:rsidP="00252BB5">
      <w:pPr>
        <w:jc w:val="both"/>
        <w:rPr>
          <w:i/>
        </w:rPr>
      </w:pPr>
    </w:p>
    <w:p w14:paraId="61D7A42F" w14:textId="77777777" w:rsidR="00252BB5" w:rsidRDefault="00252BB5" w:rsidP="00252BB5">
      <w:pPr>
        <w:jc w:val="both"/>
        <w:rPr>
          <w:i/>
        </w:rPr>
      </w:pPr>
    </w:p>
    <w:p w14:paraId="7427D378" w14:textId="77777777" w:rsidR="00223E8C" w:rsidRDefault="00223E8C">
      <w:pPr>
        <w:pStyle w:val="BodyText"/>
        <w:rPr>
          <w:b/>
          <w:sz w:val="20"/>
        </w:rPr>
      </w:pPr>
    </w:p>
    <w:p w14:paraId="230051D9" w14:textId="77777777" w:rsidR="00252BB5" w:rsidRDefault="00252BB5">
      <w:pPr>
        <w:pStyle w:val="BodyText"/>
        <w:rPr>
          <w:b/>
          <w:sz w:val="20"/>
        </w:rPr>
      </w:pPr>
    </w:p>
    <w:p w14:paraId="5724B665" w14:textId="77777777" w:rsidR="00252BB5" w:rsidRDefault="00252BB5">
      <w:pPr>
        <w:pStyle w:val="BodyText"/>
        <w:rPr>
          <w:b/>
          <w:sz w:val="20"/>
        </w:rPr>
      </w:pPr>
    </w:p>
    <w:p w14:paraId="534D0623" w14:textId="77777777" w:rsidR="00252BB5" w:rsidRDefault="00252BB5">
      <w:pPr>
        <w:pStyle w:val="BodyText"/>
        <w:rPr>
          <w:b/>
          <w:sz w:val="20"/>
        </w:rPr>
      </w:pPr>
    </w:p>
    <w:p w14:paraId="36E8A9FD" w14:textId="77777777" w:rsidR="00223E8C" w:rsidRDefault="00223E8C">
      <w:pPr>
        <w:pStyle w:val="BodyText"/>
        <w:spacing w:before="9"/>
        <w:rPr>
          <w:b/>
          <w:sz w:val="22"/>
        </w:rPr>
      </w:pPr>
    </w:p>
    <w:p w14:paraId="16CE3172" w14:textId="77777777" w:rsidR="00223E8C" w:rsidRDefault="00000000">
      <w:pPr>
        <w:ind w:left="100"/>
        <w:rPr>
          <w:b/>
          <w:sz w:val="24"/>
        </w:rPr>
      </w:pPr>
      <w:r>
        <w:rPr>
          <w:b/>
          <w:sz w:val="24"/>
        </w:rPr>
        <w:t>INTRODUCTION</w:t>
      </w:r>
    </w:p>
    <w:p w14:paraId="7F4B906B" w14:textId="77777777" w:rsidR="00223E8C" w:rsidRDefault="00223E8C">
      <w:pPr>
        <w:pStyle w:val="BodyText"/>
        <w:spacing w:before="11"/>
        <w:rPr>
          <w:b/>
          <w:sz w:val="23"/>
        </w:rPr>
      </w:pPr>
    </w:p>
    <w:p w14:paraId="10F046F2" w14:textId="77777777" w:rsidR="00223E8C" w:rsidRDefault="00000000">
      <w:pPr>
        <w:pStyle w:val="BodyText"/>
        <w:spacing w:line="480" w:lineRule="auto"/>
        <w:ind w:left="100" w:right="140"/>
        <w:jc w:val="both"/>
      </w:pPr>
      <w:r>
        <w:lastRenderedPageBreak/>
        <w:t>Issues on the rise and fall of vegetation cover and its related implications have been at the top of</w:t>
      </w:r>
      <w:r>
        <w:rPr>
          <w:spacing w:val="1"/>
        </w:rPr>
        <w:t xml:space="preserve"> </w:t>
      </w:r>
      <w:r>
        <w:t>global discussions. Concerns have been raised regarding environmental protection and climate</w:t>
      </w:r>
      <w:r>
        <w:rPr>
          <w:spacing w:val="1"/>
        </w:rPr>
        <w:t xml:space="preserve"> </w:t>
      </w:r>
      <w:r>
        <w:t>change.</w:t>
      </w:r>
      <w:r>
        <w:rPr>
          <w:spacing w:val="1"/>
        </w:rPr>
        <w:t xml:space="preserve"> </w:t>
      </w:r>
      <w:r>
        <w:t>An</w:t>
      </w:r>
      <w:r>
        <w:rPr>
          <w:spacing w:val="1"/>
        </w:rPr>
        <w:t xml:space="preserve"> </w:t>
      </w:r>
      <w:r>
        <w:t>increase</w:t>
      </w:r>
      <w:r>
        <w:rPr>
          <w:spacing w:val="1"/>
        </w:rPr>
        <w:t xml:space="preserve"> </w:t>
      </w:r>
      <w:r>
        <w:t>in</w:t>
      </w:r>
      <w:r>
        <w:rPr>
          <w:spacing w:val="1"/>
        </w:rPr>
        <w:t xml:space="preserve"> </w:t>
      </w:r>
      <w:r>
        <w:t>population,</w:t>
      </w:r>
      <w:r>
        <w:rPr>
          <w:spacing w:val="1"/>
        </w:rPr>
        <w:t xml:space="preserve"> </w:t>
      </w:r>
      <w:r>
        <w:t>destruction</w:t>
      </w:r>
      <w:r>
        <w:rPr>
          <w:spacing w:val="1"/>
        </w:rPr>
        <w:t xml:space="preserve"> </w:t>
      </w:r>
      <w:r>
        <w:t>of</w:t>
      </w:r>
      <w:r>
        <w:rPr>
          <w:spacing w:val="1"/>
        </w:rPr>
        <w:t xml:space="preserve"> </w:t>
      </w:r>
      <w:r>
        <w:t>environmental</w:t>
      </w:r>
      <w:r>
        <w:rPr>
          <w:spacing w:val="1"/>
        </w:rPr>
        <w:t xml:space="preserve"> </w:t>
      </w:r>
      <w:r>
        <w:t>resources,</w:t>
      </w:r>
      <w:r>
        <w:rPr>
          <w:spacing w:val="1"/>
        </w:rPr>
        <w:t xml:space="preserve"> </w:t>
      </w:r>
      <w:r>
        <w:t>environmental</w:t>
      </w:r>
      <w:r>
        <w:rPr>
          <w:spacing w:val="1"/>
        </w:rPr>
        <w:t xml:space="preserve"> </w:t>
      </w:r>
      <w:r>
        <w:t>pollution,</w:t>
      </w:r>
      <w:r>
        <w:rPr>
          <w:spacing w:val="1"/>
        </w:rPr>
        <w:t xml:space="preserve"> </w:t>
      </w:r>
      <w:r>
        <w:t>and</w:t>
      </w:r>
      <w:r>
        <w:rPr>
          <w:spacing w:val="1"/>
        </w:rPr>
        <w:t xml:space="preserve"> </w:t>
      </w:r>
      <w:r>
        <w:t>the</w:t>
      </w:r>
      <w:r>
        <w:rPr>
          <w:spacing w:val="1"/>
        </w:rPr>
        <w:t xml:space="preserve"> </w:t>
      </w:r>
      <w:r>
        <w:t>introduction</w:t>
      </w:r>
      <w:r>
        <w:rPr>
          <w:spacing w:val="1"/>
        </w:rPr>
        <w:t xml:space="preserve"> </w:t>
      </w:r>
      <w:r>
        <w:t>of</w:t>
      </w:r>
      <w:r>
        <w:rPr>
          <w:spacing w:val="1"/>
        </w:rPr>
        <w:t xml:space="preserve"> </w:t>
      </w:r>
      <w:r>
        <w:t>various</w:t>
      </w:r>
      <w:r>
        <w:rPr>
          <w:spacing w:val="1"/>
        </w:rPr>
        <w:t xml:space="preserve"> </w:t>
      </w:r>
      <w:r>
        <w:t>forms of land use planning are among the issues</w:t>
      </w:r>
      <w:r>
        <w:rPr>
          <w:spacing w:val="1"/>
        </w:rPr>
        <w:t xml:space="preserve"> </w:t>
      </w:r>
      <w:r>
        <w:t>threatening the environment today (Vernon, 2002). There is a declining rate of vegetation cover,</w:t>
      </w:r>
      <w:r>
        <w:rPr>
          <w:spacing w:val="1"/>
        </w:rPr>
        <w:t xml:space="preserve"> </w:t>
      </w:r>
      <w:r>
        <w:t>which</w:t>
      </w:r>
      <w:r>
        <w:rPr>
          <w:spacing w:val="1"/>
        </w:rPr>
        <w:t xml:space="preserve"> </w:t>
      </w:r>
      <w:r>
        <w:t>is</w:t>
      </w:r>
      <w:r>
        <w:rPr>
          <w:spacing w:val="1"/>
        </w:rPr>
        <w:t xml:space="preserve"> </w:t>
      </w:r>
      <w:r>
        <w:t>alarming</w:t>
      </w:r>
      <w:r>
        <w:rPr>
          <w:spacing w:val="1"/>
        </w:rPr>
        <w:t xml:space="preserve"> </w:t>
      </w:r>
      <w:r>
        <w:t>given</w:t>
      </w:r>
      <w:r>
        <w:rPr>
          <w:spacing w:val="1"/>
        </w:rPr>
        <w:t xml:space="preserve"> </w:t>
      </w:r>
      <w:r>
        <w:t>its</w:t>
      </w:r>
      <w:r>
        <w:rPr>
          <w:spacing w:val="1"/>
        </w:rPr>
        <w:t xml:space="preserve"> </w:t>
      </w:r>
      <w:r>
        <w:t>critical</w:t>
      </w:r>
      <w:r>
        <w:rPr>
          <w:spacing w:val="1"/>
        </w:rPr>
        <w:t xml:space="preserve"> </w:t>
      </w:r>
      <w:r>
        <w:t>role</w:t>
      </w:r>
      <w:r>
        <w:rPr>
          <w:spacing w:val="1"/>
        </w:rPr>
        <w:t xml:space="preserve"> </w:t>
      </w:r>
      <w:r>
        <w:t>in</w:t>
      </w:r>
      <w:r>
        <w:rPr>
          <w:spacing w:val="1"/>
        </w:rPr>
        <w:t xml:space="preserve"> </w:t>
      </w:r>
      <w:r>
        <w:t>maintaining</w:t>
      </w:r>
      <w:r>
        <w:rPr>
          <w:spacing w:val="1"/>
        </w:rPr>
        <w:t xml:space="preserve"> </w:t>
      </w:r>
      <w:r>
        <w:t>ecological</w:t>
      </w:r>
      <w:r>
        <w:rPr>
          <w:spacing w:val="1"/>
        </w:rPr>
        <w:t xml:space="preserve"> </w:t>
      </w:r>
      <w:r>
        <w:t>balance,</w:t>
      </w:r>
      <w:r>
        <w:rPr>
          <w:spacing w:val="1"/>
        </w:rPr>
        <w:t xml:space="preserve"> </w:t>
      </w:r>
      <w:r>
        <w:t>supporting</w:t>
      </w:r>
      <w:r>
        <w:rPr>
          <w:spacing w:val="1"/>
        </w:rPr>
        <w:t xml:space="preserve"> </w:t>
      </w:r>
      <w:r>
        <w:t>biodiversity,</w:t>
      </w:r>
      <w:r>
        <w:rPr>
          <w:spacing w:val="-1"/>
        </w:rPr>
        <w:t xml:space="preserve"> </w:t>
      </w:r>
      <w:r>
        <w:t>and regulating climate.</w:t>
      </w:r>
    </w:p>
    <w:p w14:paraId="6CDE5EF2" w14:textId="77777777" w:rsidR="00223E8C" w:rsidRDefault="00000000">
      <w:pPr>
        <w:pStyle w:val="BodyText"/>
        <w:spacing w:line="480" w:lineRule="auto"/>
        <w:ind w:left="100" w:right="139"/>
        <w:jc w:val="both"/>
      </w:pPr>
      <w:r>
        <w:t>Africa</w:t>
      </w:r>
      <w:r>
        <w:rPr>
          <w:spacing w:val="1"/>
        </w:rPr>
        <w:t xml:space="preserve"> </w:t>
      </w:r>
      <w:r>
        <w:t>has</w:t>
      </w:r>
      <w:r>
        <w:rPr>
          <w:spacing w:val="1"/>
        </w:rPr>
        <w:t xml:space="preserve"> </w:t>
      </w:r>
      <w:r>
        <w:t>been</w:t>
      </w:r>
      <w:r>
        <w:rPr>
          <w:spacing w:val="1"/>
        </w:rPr>
        <w:t xml:space="preserve"> </w:t>
      </w:r>
      <w:r>
        <w:t>experiencing</w:t>
      </w:r>
      <w:r>
        <w:rPr>
          <w:spacing w:val="1"/>
        </w:rPr>
        <w:t xml:space="preserve"> </w:t>
      </w:r>
      <w:r>
        <w:t>a</w:t>
      </w:r>
      <w:r>
        <w:rPr>
          <w:spacing w:val="1"/>
        </w:rPr>
        <w:t xml:space="preserve"> </w:t>
      </w:r>
      <w:r>
        <w:t>significant</w:t>
      </w:r>
      <w:r>
        <w:rPr>
          <w:spacing w:val="1"/>
        </w:rPr>
        <w:t xml:space="preserve"> </w:t>
      </w:r>
      <w:r>
        <w:t>loss</w:t>
      </w:r>
      <w:r>
        <w:rPr>
          <w:spacing w:val="1"/>
        </w:rPr>
        <w:t xml:space="preserve"> </w:t>
      </w:r>
      <w:r>
        <w:t>in</w:t>
      </w:r>
      <w:r>
        <w:rPr>
          <w:spacing w:val="1"/>
        </w:rPr>
        <w:t xml:space="preserve"> </w:t>
      </w:r>
      <w:r>
        <w:t>forest</w:t>
      </w:r>
      <w:r>
        <w:rPr>
          <w:spacing w:val="1"/>
        </w:rPr>
        <w:t xml:space="preserve"> </w:t>
      </w:r>
      <w:r>
        <w:t>cover,</w:t>
      </w:r>
      <w:r>
        <w:rPr>
          <w:spacing w:val="1"/>
        </w:rPr>
        <w:t xml:space="preserve"> </w:t>
      </w:r>
      <w:r>
        <w:t>with</w:t>
      </w:r>
      <w:r>
        <w:rPr>
          <w:spacing w:val="1"/>
        </w:rPr>
        <w:t xml:space="preserve"> </w:t>
      </w:r>
      <w:r>
        <w:t>the</w:t>
      </w:r>
      <w:r>
        <w:rPr>
          <w:spacing w:val="1"/>
        </w:rPr>
        <w:t xml:space="preserve"> </w:t>
      </w:r>
      <w:r>
        <w:t>highest</w:t>
      </w:r>
      <w:r>
        <w:rPr>
          <w:spacing w:val="1"/>
        </w:rPr>
        <w:t xml:space="preserve"> </w:t>
      </w:r>
      <w:r>
        <w:t>rate</w:t>
      </w:r>
      <w:r>
        <w:rPr>
          <w:spacing w:val="1"/>
        </w:rPr>
        <w:t xml:space="preserve"> </w:t>
      </w:r>
      <w:r>
        <w:t>of</w:t>
      </w:r>
      <w:r>
        <w:rPr>
          <w:spacing w:val="1"/>
        </w:rPr>
        <w:t xml:space="preserve"> </w:t>
      </w:r>
      <w:r>
        <w:t>deforestation among all continents. According to the FAO, Africa lost nearly 4 million hectares</w:t>
      </w:r>
      <w:r>
        <w:rPr>
          <w:spacing w:val="1"/>
        </w:rPr>
        <w:t xml:space="preserve"> </w:t>
      </w:r>
      <w:r>
        <w:t>of</w:t>
      </w:r>
      <w:r>
        <w:rPr>
          <w:spacing w:val="1"/>
        </w:rPr>
        <w:t xml:space="preserve"> </w:t>
      </w:r>
      <w:r>
        <w:t>forest</w:t>
      </w:r>
      <w:r>
        <w:rPr>
          <w:spacing w:val="1"/>
        </w:rPr>
        <w:t xml:space="preserve"> </w:t>
      </w:r>
      <w:r>
        <w:t>annually</w:t>
      </w:r>
      <w:r>
        <w:rPr>
          <w:spacing w:val="1"/>
        </w:rPr>
        <w:t xml:space="preserve"> </w:t>
      </w:r>
      <w:r>
        <w:t>between 2010 and 2020. This loss is primarily driven by factors such as</w:t>
      </w:r>
      <w:r>
        <w:rPr>
          <w:spacing w:val="1"/>
        </w:rPr>
        <w:t xml:space="preserve"> </w:t>
      </w:r>
      <w:r>
        <w:t>agricultural expansion, logging, and the demand for charcoal as a primary fuel source. The rapid</w:t>
      </w:r>
      <w:r>
        <w:rPr>
          <w:spacing w:val="1"/>
        </w:rPr>
        <w:t xml:space="preserve"> </w:t>
      </w:r>
      <w:r>
        <w:t>population</w:t>
      </w:r>
      <w:r>
        <w:rPr>
          <w:spacing w:val="1"/>
        </w:rPr>
        <w:t xml:space="preserve"> </w:t>
      </w:r>
      <w:r>
        <w:t>growth</w:t>
      </w:r>
      <w:r>
        <w:rPr>
          <w:spacing w:val="1"/>
        </w:rPr>
        <w:t xml:space="preserve"> </w:t>
      </w:r>
      <w:r>
        <w:t>and</w:t>
      </w:r>
      <w:r>
        <w:rPr>
          <w:spacing w:val="1"/>
        </w:rPr>
        <w:t xml:space="preserve"> </w:t>
      </w:r>
      <w:r>
        <w:t>the</w:t>
      </w:r>
      <w:r>
        <w:rPr>
          <w:spacing w:val="1"/>
        </w:rPr>
        <w:t xml:space="preserve"> </w:t>
      </w:r>
      <w:r>
        <w:t>need</w:t>
      </w:r>
      <w:r>
        <w:rPr>
          <w:spacing w:val="1"/>
        </w:rPr>
        <w:t xml:space="preserve"> </w:t>
      </w:r>
      <w:r>
        <w:t>for</w:t>
      </w:r>
      <w:r>
        <w:rPr>
          <w:spacing w:val="1"/>
        </w:rPr>
        <w:t xml:space="preserve"> </w:t>
      </w:r>
      <w:r>
        <w:t>land</w:t>
      </w:r>
      <w:r>
        <w:rPr>
          <w:spacing w:val="1"/>
        </w:rPr>
        <w:t xml:space="preserve"> </w:t>
      </w:r>
      <w:r>
        <w:t>to</w:t>
      </w:r>
      <w:r>
        <w:rPr>
          <w:spacing w:val="1"/>
        </w:rPr>
        <w:t xml:space="preserve"> </w:t>
      </w:r>
      <w:r>
        <w:t>sustain livelihoods further exacerbate the issue</w:t>
      </w:r>
      <w:r>
        <w:rPr>
          <w:spacing w:val="1"/>
        </w:rPr>
        <w:t xml:space="preserve"> </w:t>
      </w:r>
      <w:r>
        <w:t>(Earth.org,</w:t>
      </w:r>
      <w:r>
        <w:rPr>
          <w:spacing w:val="-1"/>
        </w:rPr>
        <w:t xml:space="preserve"> </w:t>
      </w:r>
      <w:r>
        <w:t>2012).</w:t>
      </w:r>
    </w:p>
    <w:p w14:paraId="29ED4A20" w14:textId="77777777" w:rsidR="00223E8C" w:rsidRDefault="00000000">
      <w:pPr>
        <w:pStyle w:val="BodyText"/>
        <w:spacing w:line="480" w:lineRule="auto"/>
        <w:ind w:left="100" w:right="139"/>
        <w:jc w:val="both"/>
      </w:pPr>
      <w:r>
        <w:rPr>
          <w:color w:val="212121"/>
        </w:rPr>
        <w:t>The</w:t>
      </w:r>
      <w:r>
        <w:rPr>
          <w:color w:val="212121"/>
          <w:spacing w:val="1"/>
        </w:rPr>
        <w:t xml:space="preserve"> </w:t>
      </w:r>
      <w:r>
        <w:rPr>
          <w:color w:val="212121"/>
        </w:rPr>
        <w:t>country's annual deforestation rate was estimated to be 1.3%. Between 1990 and 2005,</w:t>
      </w:r>
      <w:r>
        <w:rPr>
          <w:color w:val="212121"/>
          <w:spacing w:val="1"/>
        </w:rPr>
        <w:t xml:space="preserve"> </w:t>
      </w:r>
      <w:r>
        <w:rPr>
          <w:color w:val="212121"/>
        </w:rPr>
        <w:t>Ghana lost a quarter of its total forest cover (Boafo, 2013). Various human activities led to a</w:t>
      </w:r>
      <w:r>
        <w:rPr>
          <w:color w:val="212121"/>
          <w:spacing w:val="1"/>
        </w:rPr>
        <w:t xml:space="preserve"> </w:t>
      </w:r>
      <w:r>
        <w:rPr>
          <w:color w:val="212121"/>
        </w:rPr>
        <w:t>decrease in forest cover from 8.2 million hectares to approximately 0.836 million hectares by</w:t>
      </w:r>
      <w:r>
        <w:rPr>
          <w:color w:val="212121"/>
          <w:spacing w:val="1"/>
        </w:rPr>
        <w:t xml:space="preserve"> </w:t>
      </w:r>
      <w:r>
        <w:rPr>
          <w:color w:val="212121"/>
        </w:rPr>
        <w:t>2000, indicating an annual deforestation rate of 2.8% (EPA, 2004). If this rate continues, Ghana's</w:t>
      </w:r>
      <w:r>
        <w:rPr>
          <w:color w:val="212121"/>
          <w:spacing w:val="-57"/>
        </w:rPr>
        <w:t xml:space="preserve"> </w:t>
      </w:r>
      <w:r>
        <w:rPr>
          <w:color w:val="212121"/>
        </w:rPr>
        <w:t xml:space="preserve">forests could completely disappear within 25 years (Boafo, 2013). </w:t>
      </w:r>
      <w:r>
        <w:t>Anthropogenic activities and</w:t>
      </w:r>
      <w:r>
        <w:rPr>
          <w:spacing w:val="1"/>
        </w:rPr>
        <w:t xml:space="preserve"> </w:t>
      </w:r>
      <w:r>
        <w:t>actions</w:t>
      </w:r>
      <w:r>
        <w:rPr>
          <w:spacing w:val="1"/>
        </w:rPr>
        <w:t xml:space="preserve"> </w:t>
      </w:r>
      <w:r>
        <w:t>are</w:t>
      </w:r>
      <w:r>
        <w:rPr>
          <w:spacing w:val="1"/>
        </w:rPr>
        <w:t xml:space="preserve"> </w:t>
      </w:r>
      <w:r>
        <w:t>the</w:t>
      </w:r>
      <w:r>
        <w:rPr>
          <w:spacing w:val="1"/>
        </w:rPr>
        <w:t xml:space="preserve"> </w:t>
      </w:r>
      <w:r>
        <w:t>proximate</w:t>
      </w:r>
      <w:r>
        <w:rPr>
          <w:spacing w:val="1"/>
        </w:rPr>
        <w:t xml:space="preserve"> </w:t>
      </w:r>
      <w:r>
        <w:t>causes</w:t>
      </w:r>
      <w:r>
        <w:rPr>
          <w:spacing w:val="1"/>
        </w:rPr>
        <w:t xml:space="preserve"> </w:t>
      </w:r>
      <w:r>
        <w:t>of</w:t>
      </w:r>
      <w:r>
        <w:rPr>
          <w:spacing w:val="1"/>
        </w:rPr>
        <w:t xml:space="preserve"> </w:t>
      </w:r>
      <w:r>
        <w:t>deforestation</w:t>
      </w:r>
      <w:r>
        <w:rPr>
          <w:spacing w:val="1"/>
        </w:rPr>
        <w:t xml:space="preserve"> </w:t>
      </w:r>
      <w:r>
        <w:t>and</w:t>
      </w:r>
      <w:r>
        <w:rPr>
          <w:spacing w:val="1"/>
        </w:rPr>
        <w:t xml:space="preserve"> </w:t>
      </w:r>
      <w:r>
        <w:t>forest</w:t>
      </w:r>
      <w:r>
        <w:rPr>
          <w:spacing w:val="1"/>
        </w:rPr>
        <w:t xml:space="preserve"> </w:t>
      </w:r>
      <w:r>
        <w:t>degradation</w:t>
      </w:r>
      <w:r>
        <w:rPr>
          <w:spacing w:val="1"/>
        </w:rPr>
        <w:t xml:space="preserve"> </w:t>
      </w:r>
      <w:r>
        <w:t>(Koranteng</w:t>
      </w:r>
      <w:r>
        <w:rPr>
          <w:spacing w:val="1"/>
        </w:rPr>
        <w:t xml:space="preserve"> </w:t>
      </w:r>
      <w:r>
        <w:t>&amp;</w:t>
      </w:r>
      <w:r>
        <w:rPr>
          <w:spacing w:val="1"/>
        </w:rPr>
        <w:t xml:space="preserve"> </w:t>
      </w:r>
      <w:r>
        <w:t>Zawila-Niedzwiecki, 2015). In our area of study, mining (both legal and illegal) is one major</w:t>
      </w:r>
      <w:r>
        <w:rPr>
          <w:spacing w:val="1"/>
        </w:rPr>
        <w:t xml:space="preserve"> </w:t>
      </w:r>
      <w:r>
        <w:t>cause of the issue of deforestation.</w:t>
      </w:r>
    </w:p>
    <w:p w14:paraId="0F4169CC" w14:textId="77777777" w:rsidR="00223E8C" w:rsidRDefault="00223E8C">
      <w:pPr>
        <w:spacing w:line="480" w:lineRule="auto"/>
        <w:jc w:val="both"/>
        <w:sectPr w:rsidR="00223E8C">
          <w:footerReference w:type="default" r:id="rId7"/>
          <w:pgSz w:w="12240" w:h="15840"/>
          <w:pgMar w:top="1500" w:right="1300" w:bottom="1000" w:left="1340" w:header="0" w:footer="804" w:gutter="0"/>
          <w:cols w:space="720"/>
        </w:sectPr>
      </w:pPr>
    </w:p>
    <w:p w14:paraId="5B84651D" w14:textId="77777777" w:rsidR="00223E8C" w:rsidRDefault="00000000">
      <w:pPr>
        <w:pStyle w:val="BodyText"/>
        <w:spacing w:before="60" w:line="480" w:lineRule="auto"/>
        <w:ind w:left="100" w:right="141"/>
        <w:jc w:val="both"/>
      </w:pPr>
      <w:r>
        <w:rPr>
          <w:color w:val="212121"/>
        </w:rPr>
        <w:lastRenderedPageBreak/>
        <w:t>Ghana regained her position as the leading producer of gold in Africa, having overtaken South</w:t>
      </w:r>
      <w:r>
        <w:rPr>
          <w:color w:val="212121"/>
          <w:spacing w:val="1"/>
        </w:rPr>
        <w:t xml:space="preserve"> </w:t>
      </w:r>
      <w:r>
        <w:rPr>
          <w:color w:val="212121"/>
        </w:rPr>
        <w:t>Africa</w:t>
      </w:r>
      <w:r>
        <w:rPr>
          <w:color w:val="212121"/>
          <w:spacing w:val="1"/>
        </w:rPr>
        <w:t xml:space="preserve"> </w:t>
      </w:r>
      <w:r>
        <w:rPr>
          <w:color w:val="212121"/>
        </w:rPr>
        <w:t>(Akufo-Addo,</w:t>
      </w:r>
      <w:r>
        <w:rPr>
          <w:color w:val="212121"/>
          <w:spacing w:val="1"/>
        </w:rPr>
        <w:t xml:space="preserve"> </w:t>
      </w:r>
      <w:r>
        <w:rPr>
          <w:color w:val="212121"/>
        </w:rPr>
        <w:t>2024)</w:t>
      </w:r>
      <w:r>
        <w:rPr>
          <w:rFonts w:ascii="Verdana"/>
          <w:color w:val="212121"/>
          <w:sz w:val="23"/>
        </w:rPr>
        <w:t xml:space="preserve">. </w:t>
      </w:r>
      <w:r>
        <w:t>However,</w:t>
      </w:r>
      <w:r>
        <w:rPr>
          <w:spacing w:val="1"/>
        </w:rPr>
        <w:t xml:space="preserve"> </w:t>
      </w:r>
      <w:r>
        <w:t>this mineral wealth has often failed to translate into</w:t>
      </w:r>
      <w:r>
        <w:rPr>
          <w:spacing w:val="1"/>
        </w:rPr>
        <w:t xml:space="preserve"> </w:t>
      </w:r>
      <w:r>
        <w:t>substantial benefits for local communities (K. Peprah, 2008). Nowhere is this disparity more</w:t>
      </w:r>
      <w:r>
        <w:rPr>
          <w:spacing w:val="1"/>
        </w:rPr>
        <w:t xml:space="preserve"> </w:t>
      </w:r>
      <w:r>
        <w:t>evident</w:t>
      </w:r>
      <w:r>
        <w:rPr>
          <w:spacing w:val="1"/>
        </w:rPr>
        <w:t xml:space="preserve"> </w:t>
      </w:r>
      <w:r>
        <w:t>than</w:t>
      </w:r>
      <w:r>
        <w:rPr>
          <w:spacing w:val="1"/>
        </w:rPr>
        <w:t xml:space="preserve"> </w:t>
      </w:r>
      <w:r>
        <w:t>in</w:t>
      </w:r>
      <w:r>
        <w:rPr>
          <w:spacing w:val="1"/>
        </w:rPr>
        <w:t xml:space="preserve"> </w:t>
      </w:r>
      <w:r>
        <w:t>the</w:t>
      </w:r>
      <w:r>
        <w:rPr>
          <w:spacing w:val="1"/>
        </w:rPr>
        <w:t xml:space="preserve"> </w:t>
      </w:r>
      <w:r>
        <w:t>Ashanti</w:t>
      </w:r>
      <w:r>
        <w:rPr>
          <w:spacing w:val="1"/>
        </w:rPr>
        <w:t xml:space="preserve"> </w:t>
      </w:r>
      <w:r>
        <w:t>region,</w:t>
      </w:r>
      <w:r>
        <w:rPr>
          <w:spacing w:val="1"/>
        </w:rPr>
        <w:t xml:space="preserve"> </w:t>
      </w:r>
      <w:r>
        <w:t>notably</w:t>
      </w:r>
      <w:r>
        <w:rPr>
          <w:spacing w:val="1"/>
        </w:rPr>
        <w:t xml:space="preserve"> </w:t>
      </w:r>
      <w:r>
        <w:t>in</w:t>
      </w:r>
      <w:r>
        <w:rPr>
          <w:spacing w:val="1"/>
        </w:rPr>
        <w:t xml:space="preserve"> </w:t>
      </w:r>
      <w:r>
        <w:t>Obuasi,</w:t>
      </w:r>
      <w:r>
        <w:rPr>
          <w:spacing w:val="1"/>
        </w:rPr>
        <w:t xml:space="preserve"> </w:t>
      </w:r>
      <w:r>
        <w:t>where</w:t>
      </w:r>
      <w:r>
        <w:rPr>
          <w:spacing w:val="1"/>
        </w:rPr>
        <w:t xml:space="preserve"> </w:t>
      </w:r>
      <w:r>
        <w:t>gold</w:t>
      </w:r>
      <w:r>
        <w:rPr>
          <w:spacing w:val="1"/>
        </w:rPr>
        <w:t xml:space="preserve"> </w:t>
      </w:r>
      <w:r>
        <w:t>mining</w:t>
      </w:r>
      <w:r>
        <w:rPr>
          <w:spacing w:val="1"/>
        </w:rPr>
        <w:t xml:space="preserve"> </w:t>
      </w:r>
      <w:r>
        <w:t>has</w:t>
      </w:r>
      <w:r>
        <w:rPr>
          <w:spacing w:val="1"/>
        </w:rPr>
        <w:t xml:space="preserve"> </w:t>
      </w:r>
      <w:r>
        <w:t>historically</w:t>
      </w:r>
      <w:r>
        <w:rPr>
          <w:spacing w:val="-57"/>
        </w:rPr>
        <w:t xml:space="preserve"> </w:t>
      </w:r>
      <w:r>
        <w:t>underpinned local and national economies. Nevertheless, this economic prosperity has exacted a</w:t>
      </w:r>
      <w:r>
        <w:rPr>
          <w:spacing w:val="1"/>
        </w:rPr>
        <w:t xml:space="preserve"> </w:t>
      </w:r>
      <w:r>
        <w:t>severe environmental toll, marked by deforestation, soil degradation, and pollution, profoundly</w:t>
      </w:r>
      <w:r>
        <w:rPr>
          <w:spacing w:val="1"/>
        </w:rPr>
        <w:t xml:space="preserve"> </w:t>
      </w:r>
      <w:r>
        <w:t>impacting</w:t>
      </w:r>
      <w:r>
        <w:rPr>
          <w:spacing w:val="-1"/>
        </w:rPr>
        <w:t xml:space="preserve"> </w:t>
      </w:r>
      <w:r>
        <w:t>local vegetation cover.</w:t>
      </w:r>
    </w:p>
    <w:p w14:paraId="0127F79C" w14:textId="77777777" w:rsidR="00223E8C" w:rsidRDefault="00000000">
      <w:pPr>
        <w:pStyle w:val="BodyText"/>
        <w:spacing w:before="3" w:line="480" w:lineRule="auto"/>
        <w:ind w:left="100" w:right="140"/>
        <w:jc w:val="both"/>
      </w:pPr>
      <w:r>
        <w:t>Mining</w:t>
      </w:r>
      <w:r>
        <w:rPr>
          <w:spacing w:val="1"/>
        </w:rPr>
        <w:t xml:space="preserve"> </w:t>
      </w:r>
      <w:r>
        <w:t>is not the only cause of the recent loss in</w:t>
      </w:r>
      <w:r>
        <w:rPr>
          <w:spacing w:val="1"/>
        </w:rPr>
        <w:t xml:space="preserve"> </w:t>
      </w:r>
      <w:r>
        <w:t>vegetation cover in this region. Kofi Korle</w:t>
      </w:r>
      <w:r>
        <w:rPr>
          <w:spacing w:val="1"/>
        </w:rPr>
        <w:t xml:space="preserve"> </w:t>
      </w:r>
      <w:r>
        <w:t>categorized such factors into climatic, industrial, and anthropogenic categories (Korle, 2020).</w:t>
      </w:r>
      <w:r>
        <w:rPr>
          <w:spacing w:val="1"/>
        </w:rPr>
        <w:t xml:space="preserve"> </w:t>
      </w:r>
      <w:r>
        <w:t>Unfortunately, leadership and management approaches have not provided the needed remedies to</w:t>
      </w:r>
      <w:r>
        <w:rPr>
          <w:spacing w:val="-57"/>
        </w:rPr>
        <w:t xml:space="preserve"> </w:t>
      </w:r>
      <w:r>
        <w:t>curb this (K. Peprah, 2002).</w:t>
      </w:r>
    </w:p>
    <w:p w14:paraId="7552C8A0" w14:textId="77777777" w:rsidR="00223E8C" w:rsidRDefault="00223E8C">
      <w:pPr>
        <w:pStyle w:val="BodyText"/>
        <w:spacing w:before="10"/>
        <w:rPr>
          <w:sz w:val="20"/>
        </w:rPr>
      </w:pPr>
    </w:p>
    <w:p w14:paraId="03E7A1BC" w14:textId="77777777" w:rsidR="00223E8C" w:rsidRDefault="00000000">
      <w:pPr>
        <w:pStyle w:val="BodyText"/>
        <w:spacing w:line="480" w:lineRule="auto"/>
        <w:ind w:left="100" w:right="140"/>
        <w:jc w:val="both"/>
      </w:pPr>
      <w:r>
        <w:t>This study employs QGIS, a powerful Geographic Information System (GIS) tool renowned for</w:t>
      </w:r>
      <w:r>
        <w:rPr>
          <w:spacing w:val="1"/>
        </w:rPr>
        <w:t xml:space="preserve"> </w:t>
      </w:r>
      <w:r>
        <w:t>its capability to spatially analyze and visualize environmental data. It aims to comprehensively</w:t>
      </w:r>
      <w:r>
        <w:rPr>
          <w:spacing w:val="1"/>
        </w:rPr>
        <w:t xml:space="preserve"> </w:t>
      </w:r>
      <w:r>
        <w:t>analyze vegetation cover loss in Obuasi from 1990 to 2024. By integrating data from satellite</w:t>
      </w:r>
      <w:r>
        <w:rPr>
          <w:spacing w:val="1"/>
        </w:rPr>
        <w:t xml:space="preserve"> </w:t>
      </w:r>
      <w:r>
        <w:t>imagery and ground surveys, the research provides a detailed understanding of spatial patterns</w:t>
      </w:r>
      <w:r>
        <w:rPr>
          <w:spacing w:val="1"/>
        </w:rPr>
        <w:t xml:space="preserve"> </w:t>
      </w:r>
      <w:r>
        <w:t>and trends in vegetation dynamics over this period. Through this analysis, the study seeks to</w:t>
      </w:r>
      <w:r>
        <w:rPr>
          <w:spacing w:val="1"/>
        </w:rPr>
        <w:t xml:space="preserve"> </w:t>
      </w:r>
      <w:r>
        <w:t>contribute valuable insights into the factors driving vegetation loss in Obuasi, offering a basis for</w:t>
      </w:r>
      <w:r>
        <w:rPr>
          <w:spacing w:val="-57"/>
        </w:rPr>
        <w:t xml:space="preserve"> </w:t>
      </w:r>
      <w:r>
        <w:t>informed environmental policies and sustainable land management practices in the region.</w:t>
      </w:r>
    </w:p>
    <w:p w14:paraId="68344ED5" w14:textId="77777777" w:rsidR="00223E8C" w:rsidRDefault="00223E8C">
      <w:pPr>
        <w:spacing w:line="480" w:lineRule="auto"/>
        <w:jc w:val="both"/>
        <w:sectPr w:rsidR="00223E8C">
          <w:pgSz w:w="12240" w:h="15840"/>
          <w:pgMar w:top="1380" w:right="1300" w:bottom="1000" w:left="1340" w:header="0" w:footer="804" w:gutter="0"/>
          <w:cols w:space="720"/>
        </w:sectPr>
      </w:pPr>
    </w:p>
    <w:p w14:paraId="39C141A8" w14:textId="77777777" w:rsidR="00223E8C" w:rsidRDefault="00000000">
      <w:pPr>
        <w:pStyle w:val="Heading2"/>
        <w:jc w:val="both"/>
      </w:pPr>
      <w:r>
        <w:lastRenderedPageBreak/>
        <w:t>MATERIALS</w:t>
      </w:r>
      <w:r>
        <w:rPr>
          <w:spacing w:val="-6"/>
        </w:rPr>
        <w:t xml:space="preserve"> </w:t>
      </w:r>
      <w:r>
        <w:t>AND</w:t>
      </w:r>
      <w:r>
        <w:rPr>
          <w:spacing w:val="-5"/>
        </w:rPr>
        <w:t xml:space="preserve"> </w:t>
      </w:r>
      <w:r>
        <w:t>METHODS</w:t>
      </w:r>
    </w:p>
    <w:p w14:paraId="4600A2AC" w14:textId="77777777" w:rsidR="00223E8C" w:rsidRDefault="00223E8C">
      <w:pPr>
        <w:pStyle w:val="BodyText"/>
        <w:rPr>
          <w:b/>
          <w:sz w:val="26"/>
        </w:rPr>
      </w:pPr>
    </w:p>
    <w:p w14:paraId="216D75C1" w14:textId="77777777" w:rsidR="00223E8C" w:rsidRDefault="00000000">
      <w:pPr>
        <w:spacing w:before="217"/>
        <w:ind w:left="100"/>
        <w:jc w:val="both"/>
        <w:rPr>
          <w:b/>
          <w:sz w:val="24"/>
        </w:rPr>
      </w:pPr>
      <w:r>
        <w:rPr>
          <w:b/>
          <w:sz w:val="24"/>
        </w:rPr>
        <w:t>Study</w:t>
      </w:r>
      <w:r>
        <w:rPr>
          <w:b/>
          <w:spacing w:val="-3"/>
          <w:sz w:val="24"/>
        </w:rPr>
        <w:t xml:space="preserve"> </w:t>
      </w:r>
      <w:r>
        <w:rPr>
          <w:b/>
          <w:sz w:val="24"/>
        </w:rPr>
        <w:t>Area</w:t>
      </w:r>
    </w:p>
    <w:p w14:paraId="7F4B3BB6" w14:textId="77777777" w:rsidR="00223E8C" w:rsidRDefault="00223E8C">
      <w:pPr>
        <w:pStyle w:val="BodyText"/>
        <w:rPr>
          <w:b/>
          <w:sz w:val="26"/>
        </w:rPr>
      </w:pPr>
    </w:p>
    <w:p w14:paraId="043EA3B7" w14:textId="77777777" w:rsidR="00223E8C" w:rsidRDefault="00000000">
      <w:pPr>
        <w:pStyle w:val="BodyText"/>
        <w:spacing w:before="217" w:line="480" w:lineRule="auto"/>
        <w:ind w:left="100" w:right="142"/>
        <w:jc w:val="both"/>
      </w:pPr>
      <w:r>
        <w:t>Obuasi</w:t>
      </w:r>
      <w:r>
        <w:rPr>
          <w:spacing w:val="1"/>
        </w:rPr>
        <w:t xml:space="preserve"> </w:t>
      </w:r>
      <w:r>
        <w:t>is</w:t>
      </w:r>
      <w:r>
        <w:rPr>
          <w:spacing w:val="1"/>
        </w:rPr>
        <w:t xml:space="preserve"> </w:t>
      </w:r>
      <w:r>
        <w:t>a</w:t>
      </w:r>
      <w:r>
        <w:rPr>
          <w:spacing w:val="1"/>
        </w:rPr>
        <w:t xml:space="preserve"> </w:t>
      </w:r>
      <w:r>
        <w:t>prominent</w:t>
      </w:r>
      <w:r>
        <w:rPr>
          <w:spacing w:val="1"/>
        </w:rPr>
        <w:t xml:space="preserve"> </w:t>
      </w:r>
      <w:r>
        <w:t>town</w:t>
      </w:r>
      <w:r>
        <w:rPr>
          <w:spacing w:val="1"/>
        </w:rPr>
        <w:t xml:space="preserve"> </w:t>
      </w:r>
      <w:r>
        <w:t>situated</w:t>
      </w:r>
      <w:r>
        <w:rPr>
          <w:spacing w:val="1"/>
        </w:rPr>
        <w:t xml:space="preserve"> </w:t>
      </w:r>
      <w:r>
        <w:t>in</w:t>
      </w:r>
      <w:r>
        <w:rPr>
          <w:spacing w:val="1"/>
        </w:rPr>
        <w:t xml:space="preserve"> </w:t>
      </w:r>
      <w:r>
        <w:t>the</w:t>
      </w:r>
      <w:r>
        <w:rPr>
          <w:spacing w:val="1"/>
        </w:rPr>
        <w:t xml:space="preserve"> </w:t>
      </w:r>
      <w:r>
        <w:t>southern</w:t>
      </w:r>
      <w:r>
        <w:rPr>
          <w:spacing w:val="1"/>
        </w:rPr>
        <w:t xml:space="preserve"> </w:t>
      </w:r>
      <w:r>
        <w:t>part of the Ashanti Region in Ghana.</w:t>
      </w:r>
      <w:r>
        <w:rPr>
          <w:spacing w:val="1"/>
        </w:rPr>
        <w:t xml:space="preserve"> </w:t>
      </w:r>
      <w:r>
        <w:t>Geographically,</w:t>
      </w:r>
      <w:r>
        <w:rPr>
          <w:spacing w:val="1"/>
        </w:rPr>
        <w:t xml:space="preserve"> </w:t>
      </w:r>
      <w:r>
        <w:t>it</w:t>
      </w:r>
      <w:r>
        <w:rPr>
          <w:spacing w:val="1"/>
        </w:rPr>
        <w:t xml:space="preserve"> </w:t>
      </w:r>
      <w:r>
        <w:t>is</w:t>
      </w:r>
      <w:r>
        <w:rPr>
          <w:spacing w:val="1"/>
        </w:rPr>
        <w:t xml:space="preserve"> </w:t>
      </w:r>
      <w:r>
        <w:t>positioned</w:t>
      </w:r>
      <w:r>
        <w:rPr>
          <w:spacing w:val="1"/>
        </w:rPr>
        <w:t xml:space="preserve"> </w:t>
      </w:r>
      <w:r>
        <w:t>at</w:t>
      </w:r>
      <w:r>
        <w:rPr>
          <w:spacing w:val="1"/>
        </w:rPr>
        <w:t xml:space="preserve"> </w:t>
      </w:r>
      <w:r>
        <w:t>approximately</w:t>
      </w:r>
      <w:r>
        <w:rPr>
          <w:spacing w:val="1"/>
        </w:rPr>
        <w:t xml:space="preserve"> </w:t>
      </w:r>
      <w:r>
        <w:t>6.1900</w:t>
      </w:r>
      <w:r>
        <w:rPr>
          <w:spacing w:val="1"/>
        </w:rPr>
        <w:t xml:space="preserve"> </w:t>
      </w:r>
      <w:r>
        <w:t>degrees</w:t>
      </w:r>
      <w:r>
        <w:rPr>
          <w:spacing w:val="1"/>
        </w:rPr>
        <w:t xml:space="preserve"> </w:t>
      </w:r>
      <w:r>
        <w:t>north</w:t>
      </w:r>
      <w:r>
        <w:rPr>
          <w:spacing w:val="1"/>
        </w:rPr>
        <w:t xml:space="preserve"> </w:t>
      </w:r>
      <w:r>
        <w:t>latitude</w:t>
      </w:r>
      <w:r>
        <w:rPr>
          <w:spacing w:val="1"/>
        </w:rPr>
        <w:t xml:space="preserve"> </w:t>
      </w:r>
      <w:r>
        <w:t>and</w:t>
      </w:r>
      <w:r>
        <w:rPr>
          <w:spacing w:val="1"/>
        </w:rPr>
        <w:t xml:space="preserve"> </w:t>
      </w:r>
      <w:r>
        <w:t>1.6500</w:t>
      </w:r>
      <w:r>
        <w:rPr>
          <w:spacing w:val="-57"/>
        </w:rPr>
        <w:t xml:space="preserve"> </w:t>
      </w:r>
      <w:r>
        <w:t>degrees west longitude. Known primarily for its extensive gold mining operations, Obuasi hosts</w:t>
      </w:r>
      <w:r>
        <w:rPr>
          <w:spacing w:val="1"/>
        </w:rPr>
        <w:t xml:space="preserve"> </w:t>
      </w:r>
      <w:r>
        <w:t>one of the largest gold mines in Ghana, contributing significantly to both the local and national</w:t>
      </w:r>
      <w:r>
        <w:rPr>
          <w:spacing w:val="1"/>
        </w:rPr>
        <w:t xml:space="preserve"> </w:t>
      </w:r>
      <w:r>
        <w:t>economy.</w:t>
      </w:r>
      <w:r>
        <w:rPr>
          <w:spacing w:val="1"/>
        </w:rPr>
        <w:t xml:space="preserve"> </w:t>
      </w:r>
      <w:r>
        <w:t>This</w:t>
      </w:r>
      <w:r>
        <w:rPr>
          <w:spacing w:val="1"/>
        </w:rPr>
        <w:t xml:space="preserve"> </w:t>
      </w:r>
      <w:r>
        <w:t>area</w:t>
      </w:r>
      <w:r>
        <w:rPr>
          <w:spacing w:val="1"/>
        </w:rPr>
        <w:t xml:space="preserve"> </w:t>
      </w:r>
      <w:r>
        <w:t>was</w:t>
      </w:r>
      <w:r>
        <w:rPr>
          <w:spacing w:val="1"/>
        </w:rPr>
        <w:t xml:space="preserve"> </w:t>
      </w:r>
      <w:r>
        <w:t>chosen</w:t>
      </w:r>
      <w:r>
        <w:rPr>
          <w:spacing w:val="1"/>
        </w:rPr>
        <w:t xml:space="preserve"> </w:t>
      </w:r>
      <w:r>
        <w:t>due</w:t>
      </w:r>
      <w:r>
        <w:rPr>
          <w:spacing w:val="1"/>
        </w:rPr>
        <w:t xml:space="preserve"> </w:t>
      </w:r>
      <w:r>
        <w:t>to</w:t>
      </w:r>
      <w:r>
        <w:rPr>
          <w:spacing w:val="1"/>
        </w:rPr>
        <w:t xml:space="preserve"> </w:t>
      </w:r>
      <w:r>
        <w:t>its</w:t>
      </w:r>
      <w:r>
        <w:rPr>
          <w:spacing w:val="1"/>
        </w:rPr>
        <w:t xml:space="preserve"> </w:t>
      </w:r>
      <w:r>
        <w:t>historical</w:t>
      </w:r>
      <w:r>
        <w:rPr>
          <w:spacing w:val="1"/>
        </w:rPr>
        <w:t xml:space="preserve"> </w:t>
      </w:r>
      <w:r>
        <w:t>significance</w:t>
      </w:r>
      <w:r>
        <w:rPr>
          <w:spacing w:val="1"/>
        </w:rPr>
        <w:t xml:space="preserve"> </w:t>
      </w:r>
      <w:r>
        <w:t>in</w:t>
      </w:r>
      <w:r>
        <w:rPr>
          <w:spacing w:val="1"/>
        </w:rPr>
        <w:t xml:space="preserve"> </w:t>
      </w:r>
      <w:r>
        <w:t>gold</w:t>
      </w:r>
      <w:r>
        <w:rPr>
          <w:spacing w:val="1"/>
        </w:rPr>
        <w:t xml:space="preserve"> </w:t>
      </w:r>
      <w:r>
        <w:t>mining</w:t>
      </w:r>
      <w:r>
        <w:rPr>
          <w:spacing w:val="1"/>
        </w:rPr>
        <w:t xml:space="preserve"> </w:t>
      </w:r>
      <w:r>
        <w:t>and</w:t>
      </w:r>
      <w:r>
        <w:rPr>
          <w:spacing w:val="1"/>
        </w:rPr>
        <w:t xml:space="preserve"> </w:t>
      </w:r>
      <w:r>
        <w:t>the</w:t>
      </w:r>
      <w:r>
        <w:rPr>
          <w:spacing w:val="1"/>
        </w:rPr>
        <w:t xml:space="preserve"> </w:t>
      </w:r>
      <w:r>
        <w:t>accompanying environmental challenges, particularly concerning vegetation cover loss.</w:t>
      </w:r>
    </w:p>
    <w:p w14:paraId="721B5ADA" w14:textId="77777777" w:rsidR="00223E8C" w:rsidRDefault="00223E8C">
      <w:pPr>
        <w:pStyle w:val="BodyText"/>
        <w:rPr>
          <w:sz w:val="20"/>
        </w:rPr>
      </w:pPr>
    </w:p>
    <w:p w14:paraId="1E793FF4" w14:textId="77777777" w:rsidR="00223E8C" w:rsidRDefault="00223E8C">
      <w:pPr>
        <w:pStyle w:val="BodyText"/>
        <w:rPr>
          <w:sz w:val="20"/>
        </w:rPr>
      </w:pPr>
    </w:p>
    <w:p w14:paraId="2C9736B4" w14:textId="77777777" w:rsidR="00223E8C" w:rsidRDefault="00223E8C">
      <w:pPr>
        <w:pStyle w:val="BodyText"/>
        <w:rPr>
          <w:sz w:val="20"/>
        </w:rPr>
      </w:pPr>
    </w:p>
    <w:p w14:paraId="401A60AC" w14:textId="77777777" w:rsidR="00223E8C" w:rsidRDefault="00000000">
      <w:pPr>
        <w:pStyle w:val="BodyText"/>
        <w:spacing w:before="2"/>
        <w:rPr>
          <w:sz w:val="16"/>
        </w:rPr>
      </w:pPr>
      <w:r>
        <w:rPr>
          <w:noProof/>
        </w:rPr>
        <w:drawing>
          <wp:anchor distT="0" distB="0" distL="0" distR="0" simplePos="0" relativeHeight="251658240" behindDoc="0" locked="0" layoutInCell="1" allowOverlap="1" wp14:anchorId="77781317" wp14:editId="54815117">
            <wp:simplePos x="0" y="0"/>
            <wp:positionH relativeFrom="page">
              <wp:posOffset>1401119</wp:posOffset>
            </wp:positionH>
            <wp:positionV relativeFrom="paragraph">
              <wp:posOffset>142980</wp:posOffset>
            </wp:positionV>
            <wp:extent cx="3460906" cy="2447544"/>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460906" cy="2447544"/>
                    </a:xfrm>
                    <a:prstGeom prst="rect">
                      <a:avLst/>
                    </a:prstGeom>
                  </pic:spPr>
                </pic:pic>
              </a:graphicData>
            </a:graphic>
          </wp:anchor>
        </w:drawing>
      </w:r>
    </w:p>
    <w:p w14:paraId="4EFB72B0" w14:textId="77777777" w:rsidR="00223E8C" w:rsidRDefault="00223E8C">
      <w:pPr>
        <w:pStyle w:val="BodyText"/>
        <w:rPr>
          <w:sz w:val="26"/>
        </w:rPr>
      </w:pPr>
    </w:p>
    <w:p w14:paraId="1F6B995D" w14:textId="77777777" w:rsidR="00223E8C" w:rsidRDefault="00223E8C">
      <w:pPr>
        <w:pStyle w:val="BodyText"/>
        <w:rPr>
          <w:sz w:val="26"/>
        </w:rPr>
      </w:pPr>
    </w:p>
    <w:p w14:paraId="7DE74CF0" w14:textId="77777777" w:rsidR="00223E8C" w:rsidRDefault="00223E8C">
      <w:pPr>
        <w:pStyle w:val="BodyText"/>
        <w:spacing w:before="3"/>
        <w:rPr>
          <w:sz w:val="22"/>
        </w:rPr>
      </w:pPr>
    </w:p>
    <w:p w14:paraId="2D7F9052" w14:textId="77777777" w:rsidR="00223E8C" w:rsidRDefault="00000000">
      <w:pPr>
        <w:pStyle w:val="Heading2"/>
        <w:spacing w:before="0" w:line="480" w:lineRule="auto"/>
        <w:ind w:right="150"/>
        <w:jc w:val="both"/>
      </w:pPr>
      <w:r>
        <w:t>Fig.</w:t>
      </w:r>
      <w:r>
        <w:rPr>
          <w:spacing w:val="1"/>
        </w:rPr>
        <w:t xml:space="preserve"> </w:t>
      </w:r>
      <w:r>
        <w:t>1</w:t>
      </w:r>
      <w:r>
        <w:rPr>
          <w:spacing w:val="1"/>
        </w:rPr>
        <w:t xml:space="preserve"> </w:t>
      </w:r>
      <w:r>
        <w:t>Map</w:t>
      </w:r>
      <w:r>
        <w:rPr>
          <w:spacing w:val="1"/>
        </w:rPr>
        <w:t xml:space="preserve"> </w:t>
      </w:r>
      <w:r>
        <w:t>of</w:t>
      </w:r>
      <w:r>
        <w:rPr>
          <w:spacing w:val="1"/>
        </w:rPr>
        <w:t xml:space="preserve"> </w:t>
      </w:r>
      <w:r>
        <w:t>study</w:t>
      </w:r>
      <w:r>
        <w:rPr>
          <w:spacing w:val="1"/>
        </w:rPr>
        <w:t xml:space="preserve"> </w:t>
      </w:r>
      <w:r>
        <w:t>area</w:t>
      </w:r>
      <w:r>
        <w:rPr>
          <w:spacing w:val="1"/>
        </w:rPr>
        <w:t xml:space="preserve"> </w:t>
      </w:r>
      <w:r>
        <w:t>(Source:</w:t>
      </w:r>
      <w:r>
        <w:rPr>
          <w:spacing w:val="1"/>
        </w:rPr>
        <w:t xml:space="preserve"> </w:t>
      </w:r>
      <w:r>
        <w:t>Wikipedia).</w:t>
      </w:r>
      <w:r>
        <w:rPr>
          <w:spacing w:val="1"/>
        </w:rPr>
        <w:t xml:space="preserve"> </w:t>
      </w:r>
      <w:r>
        <w:t>Map</w:t>
      </w:r>
      <w:r>
        <w:rPr>
          <w:spacing w:val="1"/>
        </w:rPr>
        <w:t xml:space="preserve"> </w:t>
      </w:r>
      <w:r>
        <w:t>(I):</w:t>
      </w:r>
      <w:r>
        <w:rPr>
          <w:spacing w:val="1"/>
        </w:rPr>
        <w:t xml:space="preserve"> </w:t>
      </w:r>
      <w:r>
        <w:t>Ghana</w:t>
      </w:r>
      <w:r>
        <w:rPr>
          <w:spacing w:val="1"/>
        </w:rPr>
        <w:t xml:space="preserve"> </w:t>
      </w:r>
      <w:r>
        <w:t>and</w:t>
      </w:r>
      <w:r>
        <w:rPr>
          <w:spacing w:val="1"/>
        </w:rPr>
        <w:t xml:space="preserve"> </w:t>
      </w:r>
      <w:r>
        <w:t>Map</w:t>
      </w:r>
      <w:r>
        <w:rPr>
          <w:spacing w:val="1"/>
        </w:rPr>
        <w:t xml:space="preserve"> </w:t>
      </w:r>
      <w:r>
        <w:t>(II):</w:t>
      </w:r>
      <w:r>
        <w:rPr>
          <w:spacing w:val="1"/>
        </w:rPr>
        <w:t xml:space="preserve"> </w:t>
      </w:r>
      <w:r>
        <w:t>administrative districts of Ashanti Region.</w:t>
      </w:r>
    </w:p>
    <w:p w14:paraId="11D05A75" w14:textId="77777777" w:rsidR="00223E8C" w:rsidRDefault="00223E8C">
      <w:pPr>
        <w:spacing w:line="480" w:lineRule="auto"/>
        <w:jc w:val="both"/>
        <w:sectPr w:rsidR="00223E8C">
          <w:pgSz w:w="12240" w:h="15840"/>
          <w:pgMar w:top="1380" w:right="1300" w:bottom="1000" w:left="1340" w:header="0" w:footer="804" w:gutter="0"/>
          <w:cols w:space="720"/>
        </w:sectPr>
      </w:pPr>
    </w:p>
    <w:p w14:paraId="012AE49E" w14:textId="77777777" w:rsidR="00223E8C" w:rsidRDefault="00000000">
      <w:pPr>
        <w:spacing w:before="60"/>
        <w:ind w:left="100"/>
        <w:jc w:val="both"/>
        <w:rPr>
          <w:b/>
          <w:sz w:val="24"/>
        </w:rPr>
      </w:pPr>
      <w:r>
        <w:rPr>
          <w:b/>
          <w:sz w:val="24"/>
        </w:rPr>
        <w:lastRenderedPageBreak/>
        <w:t>Data Collection</w:t>
      </w:r>
    </w:p>
    <w:p w14:paraId="65913805" w14:textId="77777777" w:rsidR="00223E8C" w:rsidRDefault="00223E8C">
      <w:pPr>
        <w:pStyle w:val="BodyText"/>
        <w:rPr>
          <w:b/>
          <w:sz w:val="26"/>
        </w:rPr>
      </w:pPr>
    </w:p>
    <w:p w14:paraId="0F1F019F" w14:textId="77777777" w:rsidR="00223E8C" w:rsidRDefault="00000000">
      <w:pPr>
        <w:pStyle w:val="BodyText"/>
        <w:spacing w:before="217" w:line="480" w:lineRule="auto"/>
        <w:ind w:left="100" w:right="139"/>
        <w:jc w:val="both"/>
      </w:pPr>
      <w:r>
        <w:t>Data for this study were obtained from satellite imagery and ground surveys. Satellite data were</w:t>
      </w:r>
      <w:r>
        <w:rPr>
          <w:spacing w:val="1"/>
        </w:rPr>
        <w:t xml:space="preserve"> </w:t>
      </w:r>
      <w:r>
        <w:t>sourced from the USGS Landsat 7 imagery spanning five key years: 1990, 2000, 2010, 2020, and</w:t>
      </w:r>
      <w:r>
        <w:rPr>
          <w:spacing w:val="-57"/>
        </w:rPr>
        <w:t xml:space="preserve"> </w:t>
      </w:r>
      <w:r>
        <w:t>2024.</w:t>
      </w:r>
      <w:r>
        <w:rPr>
          <w:spacing w:val="1"/>
        </w:rPr>
        <w:t xml:space="preserve"> </w:t>
      </w:r>
      <w:r>
        <w:t>Ground</w:t>
      </w:r>
      <w:r>
        <w:rPr>
          <w:spacing w:val="1"/>
        </w:rPr>
        <w:t xml:space="preserve"> </w:t>
      </w:r>
      <w:r>
        <w:t>surveys</w:t>
      </w:r>
      <w:r>
        <w:rPr>
          <w:spacing w:val="1"/>
        </w:rPr>
        <w:t xml:space="preserve"> </w:t>
      </w:r>
      <w:r>
        <w:t>complemented</w:t>
      </w:r>
      <w:r>
        <w:rPr>
          <w:spacing w:val="1"/>
        </w:rPr>
        <w:t xml:space="preserve"> </w:t>
      </w:r>
      <w:r>
        <w:t>satellite-derived</w:t>
      </w:r>
      <w:r>
        <w:rPr>
          <w:spacing w:val="1"/>
        </w:rPr>
        <w:t xml:space="preserve"> </w:t>
      </w:r>
      <w:r>
        <w:t>information,</w:t>
      </w:r>
      <w:r>
        <w:rPr>
          <w:spacing w:val="1"/>
        </w:rPr>
        <w:t xml:space="preserve"> </w:t>
      </w:r>
      <w:r>
        <w:t>providing</w:t>
      </w:r>
      <w:r>
        <w:rPr>
          <w:spacing w:val="1"/>
        </w:rPr>
        <w:t xml:space="preserve"> </w:t>
      </w:r>
      <w:r>
        <w:t>validation</w:t>
      </w:r>
      <w:r>
        <w:rPr>
          <w:spacing w:val="1"/>
        </w:rPr>
        <w:t xml:space="preserve"> </w:t>
      </w:r>
      <w:r>
        <w:t>and</w:t>
      </w:r>
      <w:r>
        <w:rPr>
          <w:spacing w:val="-57"/>
        </w:rPr>
        <w:t xml:space="preserve"> </w:t>
      </w:r>
      <w:r>
        <w:t>enhancing the accuracy of vegetation cover assessments. The projection used was WGS 84 /</w:t>
      </w:r>
      <w:r>
        <w:rPr>
          <w:spacing w:val="1"/>
        </w:rPr>
        <w:t xml:space="preserve"> </w:t>
      </w:r>
      <w:r>
        <w:t>UTM zone 30N.</w:t>
      </w:r>
    </w:p>
    <w:p w14:paraId="338DDB9F" w14:textId="77777777" w:rsidR="00223E8C" w:rsidRDefault="00223E8C">
      <w:pPr>
        <w:pStyle w:val="BodyText"/>
        <w:spacing w:before="9" w:after="1"/>
        <w:rPr>
          <w:sz w:val="19"/>
        </w:rPr>
      </w:pPr>
    </w:p>
    <w:tbl>
      <w:tblPr>
        <w:tblW w:w="0" w:type="auto"/>
        <w:tblInd w:w="13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560"/>
        <w:gridCol w:w="1560"/>
        <w:gridCol w:w="1560"/>
        <w:gridCol w:w="1560"/>
        <w:gridCol w:w="1560"/>
        <w:gridCol w:w="1560"/>
      </w:tblGrid>
      <w:tr w:rsidR="00223E8C" w14:paraId="47E907B0" w14:textId="77777777">
        <w:trPr>
          <w:trHeight w:val="470"/>
        </w:trPr>
        <w:tc>
          <w:tcPr>
            <w:tcW w:w="1560" w:type="dxa"/>
          </w:tcPr>
          <w:p w14:paraId="642F38B4" w14:textId="77777777" w:rsidR="00223E8C" w:rsidRDefault="00000000">
            <w:pPr>
              <w:pStyle w:val="TableParagraph"/>
              <w:spacing w:before="106"/>
              <w:ind w:left="89"/>
              <w:rPr>
                <w:sz w:val="24"/>
              </w:rPr>
            </w:pPr>
            <w:r>
              <w:rPr>
                <w:sz w:val="24"/>
              </w:rPr>
              <w:t>AOI</w:t>
            </w:r>
          </w:p>
        </w:tc>
        <w:tc>
          <w:tcPr>
            <w:tcW w:w="1560" w:type="dxa"/>
          </w:tcPr>
          <w:p w14:paraId="029F3859" w14:textId="77777777" w:rsidR="00223E8C" w:rsidRDefault="00000000">
            <w:pPr>
              <w:pStyle w:val="TableParagraph"/>
              <w:spacing w:before="106"/>
              <w:ind w:left="89"/>
              <w:rPr>
                <w:sz w:val="24"/>
              </w:rPr>
            </w:pPr>
            <w:r>
              <w:rPr>
                <w:sz w:val="24"/>
              </w:rPr>
              <w:t>1990</w:t>
            </w:r>
          </w:p>
        </w:tc>
        <w:tc>
          <w:tcPr>
            <w:tcW w:w="1560" w:type="dxa"/>
          </w:tcPr>
          <w:p w14:paraId="3141517A" w14:textId="77777777" w:rsidR="00223E8C" w:rsidRDefault="00000000">
            <w:pPr>
              <w:pStyle w:val="TableParagraph"/>
              <w:spacing w:before="106"/>
              <w:ind w:left="89"/>
              <w:rPr>
                <w:sz w:val="24"/>
              </w:rPr>
            </w:pPr>
            <w:r>
              <w:rPr>
                <w:sz w:val="24"/>
              </w:rPr>
              <w:t>2000</w:t>
            </w:r>
          </w:p>
        </w:tc>
        <w:tc>
          <w:tcPr>
            <w:tcW w:w="1560" w:type="dxa"/>
          </w:tcPr>
          <w:p w14:paraId="31DF7011" w14:textId="77777777" w:rsidR="00223E8C" w:rsidRDefault="00000000">
            <w:pPr>
              <w:pStyle w:val="TableParagraph"/>
              <w:spacing w:before="106"/>
              <w:ind w:left="89"/>
              <w:rPr>
                <w:sz w:val="24"/>
              </w:rPr>
            </w:pPr>
            <w:r>
              <w:rPr>
                <w:sz w:val="24"/>
              </w:rPr>
              <w:t>2010</w:t>
            </w:r>
          </w:p>
        </w:tc>
        <w:tc>
          <w:tcPr>
            <w:tcW w:w="1560" w:type="dxa"/>
          </w:tcPr>
          <w:p w14:paraId="63DB163D" w14:textId="77777777" w:rsidR="00223E8C" w:rsidRDefault="00000000">
            <w:pPr>
              <w:pStyle w:val="TableParagraph"/>
              <w:spacing w:before="106"/>
              <w:ind w:left="89"/>
              <w:rPr>
                <w:sz w:val="24"/>
              </w:rPr>
            </w:pPr>
            <w:r>
              <w:rPr>
                <w:sz w:val="24"/>
              </w:rPr>
              <w:t>2020</w:t>
            </w:r>
          </w:p>
        </w:tc>
        <w:tc>
          <w:tcPr>
            <w:tcW w:w="1560" w:type="dxa"/>
          </w:tcPr>
          <w:p w14:paraId="66F108BC" w14:textId="77777777" w:rsidR="00223E8C" w:rsidRDefault="00000000">
            <w:pPr>
              <w:pStyle w:val="TableParagraph"/>
              <w:spacing w:before="106"/>
              <w:ind w:left="89"/>
              <w:rPr>
                <w:sz w:val="24"/>
              </w:rPr>
            </w:pPr>
            <w:r>
              <w:rPr>
                <w:sz w:val="24"/>
              </w:rPr>
              <w:t>2024</w:t>
            </w:r>
          </w:p>
        </w:tc>
      </w:tr>
      <w:tr w:rsidR="00223E8C" w14:paraId="2AC3710D" w14:textId="77777777">
        <w:trPr>
          <w:trHeight w:val="1029"/>
        </w:trPr>
        <w:tc>
          <w:tcPr>
            <w:tcW w:w="1560" w:type="dxa"/>
          </w:tcPr>
          <w:p w14:paraId="51D8BA49" w14:textId="77777777" w:rsidR="00223E8C" w:rsidRDefault="00000000">
            <w:pPr>
              <w:pStyle w:val="TableParagraph"/>
              <w:spacing w:before="107"/>
              <w:ind w:left="89"/>
              <w:rPr>
                <w:sz w:val="24"/>
              </w:rPr>
            </w:pPr>
            <w:r>
              <w:rPr>
                <w:sz w:val="24"/>
              </w:rPr>
              <w:t>Obuasi</w:t>
            </w:r>
          </w:p>
        </w:tc>
        <w:tc>
          <w:tcPr>
            <w:tcW w:w="1560" w:type="dxa"/>
          </w:tcPr>
          <w:p w14:paraId="026F6A13" w14:textId="77777777" w:rsidR="00223E8C" w:rsidRDefault="00000000">
            <w:pPr>
              <w:pStyle w:val="TableParagraph"/>
              <w:spacing w:before="107"/>
              <w:ind w:left="89"/>
              <w:rPr>
                <w:sz w:val="24"/>
              </w:rPr>
            </w:pPr>
            <w:r>
              <w:rPr>
                <w:sz w:val="24"/>
              </w:rPr>
              <w:t>Landsat 4-5</w:t>
            </w:r>
          </w:p>
          <w:p w14:paraId="07450F6E" w14:textId="77777777" w:rsidR="00223E8C" w:rsidRDefault="00000000">
            <w:pPr>
              <w:pStyle w:val="TableParagraph"/>
              <w:ind w:left="89"/>
              <w:rPr>
                <w:sz w:val="24"/>
              </w:rPr>
            </w:pPr>
            <w:r>
              <w:rPr>
                <w:sz w:val="24"/>
              </w:rPr>
              <w:t>TM (1990)</w:t>
            </w:r>
          </w:p>
        </w:tc>
        <w:tc>
          <w:tcPr>
            <w:tcW w:w="1560" w:type="dxa"/>
          </w:tcPr>
          <w:p w14:paraId="7F6DAF19" w14:textId="77777777" w:rsidR="00223E8C" w:rsidRDefault="00000000">
            <w:pPr>
              <w:pStyle w:val="TableParagraph"/>
              <w:spacing w:before="107"/>
              <w:ind w:left="89" w:right="92"/>
              <w:rPr>
                <w:sz w:val="24"/>
              </w:rPr>
            </w:pPr>
            <w:r>
              <w:rPr>
                <w:sz w:val="24"/>
              </w:rPr>
              <w:t>Landsat</w:t>
            </w:r>
            <w:r>
              <w:rPr>
                <w:spacing w:val="1"/>
                <w:sz w:val="24"/>
              </w:rPr>
              <w:t xml:space="preserve"> </w:t>
            </w:r>
            <w:r>
              <w:rPr>
                <w:sz w:val="24"/>
              </w:rPr>
              <w:t>ETM+</w:t>
            </w:r>
            <w:r>
              <w:rPr>
                <w:spacing w:val="-13"/>
                <w:sz w:val="24"/>
              </w:rPr>
              <w:t xml:space="preserve"> </w:t>
            </w:r>
            <w:r>
              <w:rPr>
                <w:sz w:val="24"/>
              </w:rPr>
              <w:t>(2000)</w:t>
            </w:r>
          </w:p>
        </w:tc>
        <w:tc>
          <w:tcPr>
            <w:tcW w:w="1560" w:type="dxa"/>
          </w:tcPr>
          <w:p w14:paraId="2DE35580" w14:textId="77777777" w:rsidR="00223E8C" w:rsidRDefault="00000000">
            <w:pPr>
              <w:pStyle w:val="TableParagraph"/>
              <w:spacing w:before="107"/>
              <w:ind w:left="89" w:right="79"/>
              <w:rPr>
                <w:sz w:val="24"/>
              </w:rPr>
            </w:pPr>
            <w:r>
              <w:rPr>
                <w:sz w:val="24"/>
              </w:rPr>
              <w:t>Landsat</w:t>
            </w:r>
            <w:r>
              <w:rPr>
                <w:spacing w:val="1"/>
                <w:sz w:val="24"/>
              </w:rPr>
              <w:t xml:space="preserve"> </w:t>
            </w:r>
            <w:r>
              <w:rPr>
                <w:sz w:val="24"/>
              </w:rPr>
              <w:t>ETM+ (2010)</w:t>
            </w:r>
            <w:r>
              <w:rPr>
                <w:spacing w:val="-57"/>
                <w:sz w:val="24"/>
              </w:rPr>
              <w:t xml:space="preserve"> </w:t>
            </w:r>
            <w:r>
              <w:rPr>
                <w:sz w:val="24"/>
              </w:rPr>
              <w:t>C2L2</w:t>
            </w:r>
          </w:p>
        </w:tc>
        <w:tc>
          <w:tcPr>
            <w:tcW w:w="1560" w:type="dxa"/>
          </w:tcPr>
          <w:p w14:paraId="0553CAC6" w14:textId="77777777" w:rsidR="00223E8C" w:rsidRDefault="00000000">
            <w:pPr>
              <w:pStyle w:val="TableParagraph"/>
              <w:spacing w:before="107"/>
              <w:ind w:left="89"/>
              <w:rPr>
                <w:sz w:val="24"/>
              </w:rPr>
            </w:pPr>
            <w:r>
              <w:rPr>
                <w:sz w:val="24"/>
              </w:rPr>
              <w:t>Landsat 7</w:t>
            </w:r>
          </w:p>
          <w:p w14:paraId="7A96B50A" w14:textId="77777777" w:rsidR="00223E8C" w:rsidRDefault="00000000">
            <w:pPr>
              <w:pStyle w:val="TableParagraph"/>
              <w:ind w:left="89"/>
              <w:rPr>
                <w:sz w:val="24"/>
              </w:rPr>
            </w:pPr>
            <w:r>
              <w:rPr>
                <w:sz w:val="24"/>
              </w:rPr>
              <w:t>(2020)</w:t>
            </w:r>
          </w:p>
        </w:tc>
        <w:tc>
          <w:tcPr>
            <w:tcW w:w="1560" w:type="dxa"/>
          </w:tcPr>
          <w:p w14:paraId="02AC39CC" w14:textId="77777777" w:rsidR="00223E8C" w:rsidRDefault="00000000">
            <w:pPr>
              <w:pStyle w:val="TableParagraph"/>
              <w:spacing w:before="107"/>
              <w:ind w:left="89"/>
              <w:rPr>
                <w:sz w:val="24"/>
              </w:rPr>
            </w:pPr>
            <w:r>
              <w:rPr>
                <w:sz w:val="24"/>
              </w:rPr>
              <w:t>Landsat 7</w:t>
            </w:r>
          </w:p>
          <w:p w14:paraId="2431EFA6" w14:textId="77777777" w:rsidR="00223E8C" w:rsidRDefault="00000000">
            <w:pPr>
              <w:pStyle w:val="TableParagraph"/>
              <w:ind w:left="89"/>
              <w:rPr>
                <w:sz w:val="24"/>
              </w:rPr>
            </w:pPr>
            <w:r>
              <w:rPr>
                <w:sz w:val="24"/>
              </w:rPr>
              <w:t>(2024)</w:t>
            </w:r>
          </w:p>
        </w:tc>
      </w:tr>
    </w:tbl>
    <w:p w14:paraId="26D4BD9E" w14:textId="77777777" w:rsidR="00223E8C" w:rsidRDefault="00223E8C">
      <w:pPr>
        <w:pStyle w:val="BodyText"/>
        <w:spacing w:before="1"/>
        <w:rPr>
          <w:sz w:val="13"/>
        </w:rPr>
      </w:pPr>
    </w:p>
    <w:p w14:paraId="4A7B0B39" w14:textId="77777777" w:rsidR="00223E8C" w:rsidRDefault="00000000">
      <w:pPr>
        <w:spacing w:before="90"/>
        <w:ind w:left="100"/>
        <w:rPr>
          <w:i/>
          <w:sz w:val="24"/>
        </w:rPr>
      </w:pPr>
      <w:r>
        <w:rPr>
          <w:i/>
          <w:sz w:val="24"/>
        </w:rPr>
        <w:t>Table</w:t>
      </w:r>
      <w:r>
        <w:rPr>
          <w:i/>
          <w:spacing w:val="-6"/>
          <w:sz w:val="24"/>
        </w:rPr>
        <w:t xml:space="preserve"> </w:t>
      </w:r>
      <w:r>
        <w:rPr>
          <w:i/>
          <w:sz w:val="24"/>
        </w:rPr>
        <w:t>1:</w:t>
      </w:r>
      <w:r>
        <w:rPr>
          <w:i/>
          <w:spacing w:val="-6"/>
          <w:sz w:val="24"/>
        </w:rPr>
        <w:t xml:space="preserve"> </w:t>
      </w:r>
      <w:r>
        <w:rPr>
          <w:i/>
          <w:sz w:val="24"/>
        </w:rPr>
        <w:t>Satellite</w:t>
      </w:r>
      <w:r>
        <w:rPr>
          <w:i/>
          <w:spacing w:val="-6"/>
          <w:sz w:val="24"/>
        </w:rPr>
        <w:t xml:space="preserve"> </w:t>
      </w:r>
      <w:r>
        <w:rPr>
          <w:i/>
          <w:sz w:val="24"/>
        </w:rPr>
        <w:t>data</w:t>
      </w:r>
      <w:r>
        <w:rPr>
          <w:i/>
          <w:spacing w:val="-6"/>
          <w:sz w:val="24"/>
        </w:rPr>
        <w:t xml:space="preserve"> </w:t>
      </w:r>
      <w:r>
        <w:rPr>
          <w:i/>
          <w:sz w:val="24"/>
        </w:rPr>
        <w:t>properties</w:t>
      </w:r>
    </w:p>
    <w:p w14:paraId="6D6A65B7" w14:textId="77777777" w:rsidR="00223E8C" w:rsidRDefault="00223E8C">
      <w:pPr>
        <w:pStyle w:val="BodyText"/>
        <w:rPr>
          <w:i/>
          <w:sz w:val="26"/>
        </w:rPr>
      </w:pPr>
    </w:p>
    <w:p w14:paraId="25CD1FC8" w14:textId="77777777" w:rsidR="00223E8C" w:rsidRDefault="00000000">
      <w:pPr>
        <w:pStyle w:val="Heading2"/>
        <w:spacing w:before="217"/>
      </w:pPr>
      <w:r>
        <w:t>Data</w:t>
      </w:r>
      <w:r>
        <w:rPr>
          <w:spacing w:val="-3"/>
        </w:rPr>
        <w:t xml:space="preserve"> </w:t>
      </w:r>
      <w:r>
        <w:t>Processing</w:t>
      </w:r>
    </w:p>
    <w:p w14:paraId="494910B3" w14:textId="77777777" w:rsidR="00223E8C" w:rsidRDefault="00223E8C">
      <w:pPr>
        <w:pStyle w:val="BodyText"/>
        <w:rPr>
          <w:b/>
          <w:sz w:val="26"/>
        </w:rPr>
      </w:pPr>
    </w:p>
    <w:p w14:paraId="13128317" w14:textId="77777777" w:rsidR="00223E8C" w:rsidRDefault="00000000">
      <w:pPr>
        <w:pStyle w:val="BodyText"/>
        <w:spacing w:before="217" w:line="480" w:lineRule="auto"/>
        <w:ind w:left="100" w:right="138"/>
        <w:jc w:val="both"/>
      </w:pPr>
      <w:r>
        <w:t>Satellite imagery underwent preprocessing using ENVI (Environment for Visualizing Images).</w:t>
      </w:r>
      <w:r>
        <w:rPr>
          <w:spacing w:val="1"/>
        </w:rPr>
        <w:t xml:space="preserve"> </w:t>
      </w:r>
      <w:r>
        <w:t>This involved radiometric and atmospheric corrections to standardize data quality across all time</w:t>
      </w:r>
      <w:r>
        <w:rPr>
          <w:spacing w:val="1"/>
        </w:rPr>
        <w:t xml:space="preserve"> </w:t>
      </w:r>
      <w:r>
        <w:t>periods and ensure consistency in analysis.</w:t>
      </w:r>
    </w:p>
    <w:p w14:paraId="483BB796" w14:textId="77777777" w:rsidR="00223E8C" w:rsidRDefault="00223E8C">
      <w:pPr>
        <w:pStyle w:val="BodyText"/>
        <w:spacing w:before="10"/>
        <w:rPr>
          <w:sz w:val="20"/>
        </w:rPr>
      </w:pPr>
    </w:p>
    <w:p w14:paraId="35FED21B" w14:textId="77777777" w:rsidR="00223E8C" w:rsidRDefault="00000000">
      <w:pPr>
        <w:pStyle w:val="Heading2"/>
        <w:spacing w:before="0"/>
        <w:jc w:val="both"/>
      </w:pPr>
      <w:r>
        <w:t>NDVI Calculation</w:t>
      </w:r>
    </w:p>
    <w:p w14:paraId="0BCF1CC5" w14:textId="77777777" w:rsidR="00223E8C" w:rsidRDefault="00223E8C">
      <w:pPr>
        <w:pStyle w:val="BodyText"/>
        <w:rPr>
          <w:b/>
          <w:sz w:val="26"/>
        </w:rPr>
      </w:pPr>
    </w:p>
    <w:p w14:paraId="238F6592" w14:textId="77777777" w:rsidR="00223E8C" w:rsidRDefault="00000000">
      <w:pPr>
        <w:pStyle w:val="BodyText"/>
        <w:spacing w:before="217" w:line="480" w:lineRule="auto"/>
        <w:ind w:left="100" w:right="142"/>
        <w:jc w:val="both"/>
      </w:pPr>
      <w:r>
        <w:t>The Normalized Difference Vegetation Index (NDVI) was calculated to assess vegetation cover</w:t>
      </w:r>
      <w:r>
        <w:rPr>
          <w:spacing w:val="1"/>
        </w:rPr>
        <w:t xml:space="preserve"> </w:t>
      </w:r>
      <w:r>
        <w:t>dynamics</w:t>
      </w:r>
      <w:r>
        <w:rPr>
          <w:spacing w:val="1"/>
        </w:rPr>
        <w:t xml:space="preserve"> </w:t>
      </w:r>
      <w:r>
        <w:t>in</w:t>
      </w:r>
      <w:r>
        <w:rPr>
          <w:spacing w:val="1"/>
        </w:rPr>
        <w:t xml:space="preserve"> </w:t>
      </w:r>
      <w:r>
        <w:t>Obuasi from 1990 to 2024. Landsat bands 3 (Red) and 4 (Near-Infrared) were</w:t>
      </w:r>
      <w:r>
        <w:rPr>
          <w:spacing w:val="1"/>
        </w:rPr>
        <w:t xml:space="preserve"> </w:t>
      </w:r>
      <w:r>
        <w:t>utilized</w:t>
      </w:r>
      <w:r>
        <w:rPr>
          <w:spacing w:val="1"/>
        </w:rPr>
        <w:t xml:space="preserve"> </w:t>
      </w:r>
      <w:r>
        <w:t>for</w:t>
      </w:r>
      <w:r>
        <w:rPr>
          <w:spacing w:val="1"/>
        </w:rPr>
        <w:t xml:space="preserve"> </w:t>
      </w:r>
      <w:r>
        <w:t>NDVI</w:t>
      </w:r>
      <w:r>
        <w:rPr>
          <w:spacing w:val="1"/>
        </w:rPr>
        <w:t xml:space="preserve"> </w:t>
      </w:r>
      <w:r>
        <w:t>computation,</w:t>
      </w:r>
      <w:r>
        <w:rPr>
          <w:spacing w:val="1"/>
        </w:rPr>
        <w:t xml:space="preserve"> </w:t>
      </w:r>
      <w:r>
        <w:t>following</w:t>
      </w:r>
      <w:r>
        <w:rPr>
          <w:spacing w:val="1"/>
        </w:rPr>
        <w:t xml:space="preserve"> </w:t>
      </w:r>
      <w:r>
        <w:t>the</w:t>
      </w:r>
      <w:r>
        <w:rPr>
          <w:spacing w:val="1"/>
        </w:rPr>
        <w:t xml:space="preserve"> </w:t>
      </w:r>
      <w:r>
        <w:t>formula:</w:t>
      </w:r>
      <w:r>
        <w:rPr>
          <w:spacing w:val="1"/>
        </w:rPr>
        <w:t xml:space="preserve"> </w:t>
      </w:r>
      <w:r>
        <w:t>NDVI</w:t>
      </w:r>
      <w:r>
        <w:rPr>
          <w:spacing w:val="1"/>
        </w:rPr>
        <w:t xml:space="preserve"> </w:t>
      </w:r>
      <w:r>
        <w:t>=</w:t>
      </w:r>
      <w:r>
        <w:rPr>
          <w:spacing w:val="1"/>
        </w:rPr>
        <w:t xml:space="preserve"> </w:t>
      </w:r>
      <w:r>
        <w:t>(NIR</w:t>
      </w:r>
      <w:r>
        <w:rPr>
          <w:spacing w:val="60"/>
        </w:rPr>
        <w:t xml:space="preserve"> </w:t>
      </w:r>
      <w:r>
        <w:t>- Red) / (NIR + Red)</w:t>
      </w:r>
      <w:r>
        <w:rPr>
          <w:spacing w:val="-57"/>
        </w:rPr>
        <w:t xml:space="preserve"> </w:t>
      </w:r>
      <w:r>
        <w:t>where NIR (Near-Infrared) and Red represent reflectance values captured by Landsat sensors.</w:t>
      </w:r>
      <w:r>
        <w:rPr>
          <w:spacing w:val="1"/>
        </w:rPr>
        <w:t xml:space="preserve"> </w:t>
      </w:r>
      <w:r>
        <w:t>This</w:t>
      </w:r>
      <w:r>
        <w:rPr>
          <w:spacing w:val="13"/>
        </w:rPr>
        <w:t xml:space="preserve"> </w:t>
      </w:r>
      <w:r>
        <w:t>method</w:t>
      </w:r>
      <w:r>
        <w:rPr>
          <w:spacing w:val="14"/>
        </w:rPr>
        <w:t xml:space="preserve"> </w:t>
      </w:r>
      <w:r>
        <w:t>is</w:t>
      </w:r>
      <w:r>
        <w:rPr>
          <w:spacing w:val="14"/>
        </w:rPr>
        <w:t xml:space="preserve"> </w:t>
      </w:r>
      <w:r>
        <w:t>used</w:t>
      </w:r>
      <w:r>
        <w:rPr>
          <w:spacing w:val="13"/>
        </w:rPr>
        <w:t xml:space="preserve"> </w:t>
      </w:r>
      <w:r>
        <w:t>for</w:t>
      </w:r>
      <w:r>
        <w:rPr>
          <w:spacing w:val="14"/>
        </w:rPr>
        <w:t xml:space="preserve"> </w:t>
      </w:r>
      <w:r>
        <w:t>the</w:t>
      </w:r>
      <w:r>
        <w:rPr>
          <w:spacing w:val="14"/>
        </w:rPr>
        <w:t xml:space="preserve"> </w:t>
      </w:r>
      <w:r>
        <w:t>quantification</w:t>
      </w:r>
      <w:r>
        <w:rPr>
          <w:spacing w:val="13"/>
        </w:rPr>
        <w:t xml:space="preserve"> </w:t>
      </w:r>
      <w:r>
        <w:t>of</w:t>
      </w:r>
      <w:r>
        <w:rPr>
          <w:spacing w:val="-1"/>
        </w:rPr>
        <w:t xml:space="preserve"> </w:t>
      </w:r>
      <w:r>
        <w:t>vegetation</w:t>
      </w:r>
      <w:r>
        <w:rPr>
          <w:spacing w:val="-1"/>
        </w:rPr>
        <w:t xml:space="preserve"> </w:t>
      </w:r>
      <w:r>
        <w:t>density</w:t>
      </w:r>
      <w:r>
        <w:rPr>
          <w:spacing w:val="-1"/>
        </w:rPr>
        <w:t xml:space="preserve"> </w:t>
      </w:r>
      <w:r>
        <w:t>and</w:t>
      </w:r>
      <w:r>
        <w:rPr>
          <w:spacing w:val="-1"/>
        </w:rPr>
        <w:t xml:space="preserve"> </w:t>
      </w:r>
      <w:r>
        <w:t>health</w:t>
      </w:r>
      <w:r>
        <w:rPr>
          <w:spacing w:val="-1"/>
        </w:rPr>
        <w:t xml:space="preserve"> </w:t>
      </w:r>
      <w:r>
        <w:t>across</w:t>
      </w:r>
      <w:r>
        <w:rPr>
          <w:spacing w:val="-1"/>
        </w:rPr>
        <w:t xml:space="preserve"> </w:t>
      </w:r>
      <w:r>
        <w:t>the</w:t>
      </w:r>
      <w:r>
        <w:rPr>
          <w:spacing w:val="-1"/>
        </w:rPr>
        <w:t xml:space="preserve"> </w:t>
      </w:r>
      <w:r>
        <w:t>study</w:t>
      </w:r>
      <w:r>
        <w:rPr>
          <w:spacing w:val="-1"/>
        </w:rPr>
        <w:t xml:space="preserve"> </w:t>
      </w:r>
      <w:r>
        <w:t>area,</w:t>
      </w:r>
    </w:p>
    <w:p w14:paraId="4F3847C3" w14:textId="77777777" w:rsidR="00223E8C" w:rsidRDefault="00223E8C">
      <w:pPr>
        <w:spacing w:line="480" w:lineRule="auto"/>
        <w:jc w:val="both"/>
        <w:sectPr w:rsidR="00223E8C">
          <w:pgSz w:w="12240" w:h="15840"/>
          <w:pgMar w:top="1380" w:right="1300" w:bottom="1000" w:left="1340" w:header="0" w:footer="804" w:gutter="0"/>
          <w:cols w:space="720"/>
        </w:sectPr>
      </w:pPr>
    </w:p>
    <w:p w14:paraId="3D25E6BF" w14:textId="77777777" w:rsidR="00223E8C" w:rsidRDefault="00000000">
      <w:pPr>
        <w:pStyle w:val="BodyText"/>
        <w:spacing w:before="60" w:line="480" w:lineRule="auto"/>
        <w:ind w:left="100" w:right="138"/>
        <w:jc w:val="both"/>
      </w:pPr>
      <w:r>
        <w:lastRenderedPageBreak/>
        <w:t>with higher NDVI values indicating denser vegetation cover and lower values suggesting sparse</w:t>
      </w:r>
      <w:r>
        <w:rPr>
          <w:spacing w:val="1"/>
        </w:rPr>
        <w:t xml:space="preserve"> </w:t>
      </w:r>
      <w:r>
        <w:t>vegetation or bare soil.</w:t>
      </w:r>
    </w:p>
    <w:p w14:paraId="7211FE3B" w14:textId="77777777" w:rsidR="00223E8C" w:rsidRDefault="00223E8C">
      <w:pPr>
        <w:pStyle w:val="BodyText"/>
        <w:spacing w:before="10"/>
        <w:rPr>
          <w:sz w:val="20"/>
        </w:rPr>
      </w:pPr>
    </w:p>
    <w:p w14:paraId="37531D43" w14:textId="77777777" w:rsidR="00223E8C" w:rsidRDefault="00000000">
      <w:pPr>
        <w:pStyle w:val="Heading2"/>
        <w:spacing w:before="0"/>
        <w:jc w:val="both"/>
      </w:pPr>
      <w:r>
        <w:t>Spatial Analysis</w:t>
      </w:r>
    </w:p>
    <w:p w14:paraId="0A9668B0" w14:textId="77777777" w:rsidR="00223E8C" w:rsidRDefault="00223E8C">
      <w:pPr>
        <w:pStyle w:val="BodyText"/>
        <w:rPr>
          <w:b/>
          <w:sz w:val="26"/>
        </w:rPr>
      </w:pPr>
    </w:p>
    <w:p w14:paraId="473AD724" w14:textId="77777777" w:rsidR="00223E8C" w:rsidRDefault="00000000">
      <w:pPr>
        <w:pStyle w:val="BodyText"/>
        <w:spacing w:before="217" w:line="480" w:lineRule="auto"/>
        <w:ind w:left="100" w:right="139"/>
        <w:jc w:val="both"/>
      </w:pPr>
      <w:r>
        <w:t>QGIS</w:t>
      </w:r>
      <w:r>
        <w:rPr>
          <w:spacing w:val="1"/>
        </w:rPr>
        <w:t xml:space="preserve"> </w:t>
      </w:r>
      <w:r>
        <w:t>(Quantum</w:t>
      </w:r>
      <w:r>
        <w:rPr>
          <w:spacing w:val="1"/>
        </w:rPr>
        <w:t xml:space="preserve"> </w:t>
      </w:r>
      <w:r>
        <w:t>GIS)</w:t>
      </w:r>
      <w:r>
        <w:rPr>
          <w:spacing w:val="1"/>
        </w:rPr>
        <w:t xml:space="preserve"> </w:t>
      </w:r>
      <w:r>
        <w:t>was</w:t>
      </w:r>
      <w:r>
        <w:rPr>
          <w:spacing w:val="1"/>
        </w:rPr>
        <w:t xml:space="preserve"> </w:t>
      </w:r>
      <w:r>
        <w:t>instrumental</w:t>
      </w:r>
      <w:r>
        <w:rPr>
          <w:spacing w:val="1"/>
        </w:rPr>
        <w:t xml:space="preserve"> </w:t>
      </w:r>
      <w:r>
        <w:t>in</w:t>
      </w:r>
      <w:r>
        <w:rPr>
          <w:spacing w:val="1"/>
        </w:rPr>
        <w:t xml:space="preserve"> </w:t>
      </w:r>
      <w:r>
        <w:t>conducting</w:t>
      </w:r>
      <w:r>
        <w:rPr>
          <w:spacing w:val="1"/>
        </w:rPr>
        <w:t xml:space="preserve"> </w:t>
      </w:r>
      <w:r>
        <w:t>spatial</w:t>
      </w:r>
      <w:r>
        <w:rPr>
          <w:spacing w:val="1"/>
        </w:rPr>
        <w:t xml:space="preserve"> </w:t>
      </w:r>
      <w:r>
        <w:t>analysis</w:t>
      </w:r>
      <w:r>
        <w:rPr>
          <w:spacing w:val="1"/>
        </w:rPr>
        <w:t xml:space="preserve"> </w:t>
      </w:r>
      <w:r>
        <w:t>and</w:t>
      </w:r>
      <w:r>
        <w:rPr>
          <w:spacing w:val="1"/>
        </w:rPr>
        <w:t xml:space="preserve"> </w:t>
      </w:r>
      <w:r>
        <w:t>visualization.</w:t>
      </w:r>
      <w:r>
        <w:rPr>
          <w:spacing w:val="1"/>
        </w:rPr>
        <w:t xml:space="preserve"> </w:t>
      </w:r>
      <w:r>
        <w:t>It</w:t>
      </w:r>
      <w:r>
        <w:rPr>
          <w:spacing w:val="-57"/>
        </w:rPr>
        <w:t xml:space="preserve"> </w:t>
      </w:r>
      <w:r>
        <w:t>enabled the assessment of vegetation cover loss trends over the study period, integrating satellite</w:t>
      </w:r>
      <w:r>
        <w:rPr>
          <w:spacing w:val="1"/>
        </w:rPr>
        <w:t xml:space="preserve"> </w:t>
      </w:r>
      <w:r>
        <w:t>data and ground survey results. This approach facilitated a comprehensive spatial understanding</w:t>
      </w:r>
      <w:r>
        <w:rPr>
          <w:spacing w:val="1"/>
        </w:rPr>
        <w:t xml:space="preserve"> </w:t>
      </w:r>
      <w:r>
        <w:t>of how vegetation dynamics evolved in Obuasi.</w:t>
      </w:r>
    </w:p>
    <w:p w14:paraId="375C6A8D" w14:textId="77777777" w:rsidR="00223E8C" w:rsidRDefault="00223E8C">
      <w:pPr>
        <w:pStyle w:val="BodyText"/>
        <w:spacing w:before="10"/>
        <w:rPr>
          <w:sz w:val="20"/>
        </w:rPr>
      </w:pPr>
    </w:p>
    <w:p w14:paraId="6F708154" w14:textId="77777777" w:rsidR="00223E8C" w:rsidRDefault="00000000">
      <w:pPr>
        <w:pStyle w:val="Heading2"/>
        <w:spacing w:before="0"/>
        <w:jc w:val="both"/>
      </w:pPr>
      <w:r>
        <w:t>Data</w:t>
      </w:r>
      <w:r>
        <w:rPr>
          <w:spacing w:val="-2"/>
        </w:rPr>
        <w:t xml:space="preserve"> </w:t>
      </w:r>
      <w:r>
        <w:t>Analysis</w:t>
      </w:r>
      <w:r>
        <w:rPr>
          <w:spacing w:val="-1"/>
        </w:rPr>
        <w:t xml:space="preserve"> </w:t>
      </w:r>
      <w:r>
        <w:t>and</w:t>
      </w:r>
      <w:r>
        <w:rPr>
          <w:spacing w:val="-1"/>
        </w:rPr>
        <w:t xml:space="preserve"> </w:t>
      </w:r>
      <w:r>
        <w:t>Representation</w:t>
      </w:r>
    </w:p>
    <w:p w14:paraId="4A1E791D" w14:textId="77777777" w:rsidR="00223E8C" w:rsidRDefault="00223E8C">
      <w:pPr>
        <w:pStyle w:val="BodyText"/>
        <w:rPr>
          <w:b/>
          <w:sz w:val="26"/>
        </w:rPr>
      </w:pPr>
    </w:p>
    <w:p w14:paraId="0E192248" w14:textId="77777777" w:rsidR="00223E8C" w:rsidRDefault="00000000">
      <w:pPr>
        <w:pStyle w:val="BodyText"/>
        <w:spacing w:before="217" w:line="480" w:lineRule="auto"/>
        <w:ind w:left="100" w:right="140"/>
        <w:jc w:val="both"/>
      </w:pPr>
      <w:r>
        <w:t>Processed data were organized and analyzed using Excel. Excel facilitated statistical analysis and</w:t>
      </w:r>
      <w:r>
        <w:rPr>
          <w:spacing w:val="-57"/>
        </w:rPr>
        <w:t xml:space="preserve"> </w:t>
      </w:r>
      <w:r>
        <w:t>the visualization of vegetation cover loss trends across different temporal intervals and spatial</w:t>
      </w:r>
      <w:r>
        <w:rPr>
          <w:spacing w:val="1"/>
        </w:rPr>
        <w:t xml:space="preserve"> </w:t>
      </w:r>
      <w:r>
        <w:t>extents.</w:t>
      </w:r>
      <w:r>
        <w:rPr>
          <w:spacing w:val="1"/>
        </w:rPr>
        <w:t xml:space="preserve"> </w:t>
      </w:r>
      <w:r>
        <w:t>This</w:t>
      </w:r>
      <w:r>
        <w:rPr>
          <w:spacing w:val="1"/>
        </w:rPr>
        <w:t xml:space="preserve"> </w:t>
      </w:r>
      <w:r>
        <w:t>step</w:t>
      </w:r>
      <w:r>
        <w:rPr>
          <w:spacing w:val="1"/>
        </w:rPr>
        <w:t xml:space="preserve"> </w:t>
      </w:r>
      <w:r>
        <w:t>was</w:t>
      </w:r>
      <w:r>
        <w:rPr>
          <w:spacing w:val="1"/>
        </w:rPr>
        <w:t xml:space="preserve"> </w:t>
      </w:r>
      <w:r>
        <w:t>crucial</w:t>
      </w:r>
      <w:r>
        <w:rPr>
          <w:spacing w:val="1"/>
        </w:rPr>
        <w:t xml:space="preserve"> </w:t>
      </w:r>
      <w:r>
        <w:t>in</w:t>
      </w:r>
      <w:r>
        <w:rPr>
          <w:spacing w:val="1"/>
        </w:rPr>
        <w:t xml:space="preserve"> </w:t>
      </w:r>
      <w:r>
        <w:t>identifying</w:t>
      </w:r>
      <w:r>
        <w:rPr>
          <w:spacing w:val="1"/>
        </w:rPr>
        <w:t xml:space="preserve"> </w:t>
      </w:r>
      <w:r>
        <w:t>patterns</w:t>
      </w:r>
      <w:r>
        <w:rPr>
          <w:spacing w:val="1"/>
        </w:rPr>
        <w:t xml:space="preserve"> </w:t>
      </w:r>
      <w:r>
        <w:t>and</w:t>
      </w:r>
      <w:r>
        <w:rPr>
          <w:spacing w:val="1"/>
        </w:rPr>
        <w:t xml:space="preserve"> </w:t>
      </w:r>
      <w:r>
        <w:t>trends</w:t>
      </w:r>
      <w:r>
        <w:rPr>
          <w:spacing w:val="1"/>
        </w:rPr>
        <w:t xml:space="preserve"> </w:t>
      </w:r>
      <w:r>
        <w:t>in</w:t>
      </w:r>
      <w:r>
        <w:rPr>
          <w:spacing w:val="1"/>
        </w:rPr>
        <w:t xml:space="preserve"> </w:t>
      </w:r>
      <w:r>
        <w:t>vegetation</w:t>
      </w:r>
      <w:r>
        <w:rPr>
          <w:spacing w:val="60"/>
        </w:rPr>
        <w:t xml:space="preserve"> </w:t>
      </w:r>
      <w:r>
        <w:t>dynamics,</w:t>
      </w:r>
      <w:r>
        <w:rPr>
          <w:spacing w:val="1"/>
        </w:rPr>
        <w:t xml:space="preserve"> </w:t>
      </w:r>
      <w:r>
        <w:t>providing insights into the drivers of environmental change in the region.</w:t>
      </w:r>
    </w:p>
    <w:p w14:paraId="7544E857" w14:textId="77777777" w:rsidR="00223E8C" w:rsidRDefault="00223E8C">
      <w:pPr>
        <w:spacing w:line="480" w:lineRule="auto"/>
        <w:jc w:val="both"/>
        <w:sectPr w:rsidR="00223E8C">
          <w:pgSz w:w="12240" w:h="15840"/>
          <w:pgMar w:top="1380" w:right="1300" w:bottom="1000" w:left="1340" w:header="0" w:footer="804" w:gutter="0"/>
          <w:cols w:space="720"/>
        </w:sectPr>
      </w:pPr>
    </w:p>
    <w:p w14:paraId="6F9236AE" w14:textId="77777777" w:rsidR="00223E8C" w:rsidRDefault="00000000">
      <w:pPr>
        <w:pStyle w:val="Heading2"/>
      </w:pPr>
      <w:r>
        <w:lastRenderedPageBreak/>
        <w:t>Results</w:t>
      </w:r>
    </w:p>
    <w:p w14:paraId="5748B2C3" w14:textId="77777777" w:rsidR="00223E8C" w:rsidRDefault="00223E8C">
      <w:pPr>
        <w:pStyle w:val="BodyText"/>
        <w:rPr>
          <w:b/>
          <w:sz w:val="26"/>
        </w:rPr>
      </w:pPr>
    </w:p>
    <w:p w14:paraId="1AFEBEEE" w14:textId="77777777" w:rsidR="00223E8C" w:rsidRDefault="00000000">
      <w:pPr>
        <w:pStyle w:val="BodyText"/>
        <w:spacing w:before="217" w:line="480" w:lineRule="auto"/>
        <w:ind w:left="100" w:right="142"/>
        <w:jc w:val="both"/>
      </w:pPr>
      <w:r>
        <w:t>This section presents the results of the NDVI analysis conducted for the years 1990, 2000, 2010,</w:t>
      </w:r>
      <w:r>
        <w:rPr>
          <w:spacing w:val="1"/>
        </w:rPr>
        <w:t xml:space="preserve"> </w:t>
      </w:r>
      <w:r>
        <w:t>2020, and 2024 in Obuasi, Ashanti region. The analysis aimed to assess changes in vegetation</w:t>
      </w:r>
      <w:r>
        <w:rPr>
          <w:spacing w:val="1"/>
        </w:rPr>
        <w:t xml:space="preserve"> </w:t>
      </w:r>
      <w:r>
        <w:t xml:space="preserve">cover over time, using satellite imagery and the NDVI as a measure of vegetation health. </w:t>
      </w:r>
      <w:r>
        <w:rPr>
          <w:sz w:val="22"/>
        </w:rPr>
        <w:t>Table 1</w:t>
      </w:r>
      <w:r>
        <w:rPr>
          <w:spacing w:val="1"/>
          <w:sz w:val="22"/>
        </w:rPr>
        <w:t xml:space="preserve"> </w:t>
      </w:r>
      <w:r>
        <w:t>shows</w:t>
      </w:r>
      <w:r>
        <w:rPr>
          <w:spacing w:val="1"/>
        </w:rPr>
        <w:t xml:space="preserve"> </w:t>
      </w:r>
      <w:r>
        <w:t>the</w:t>
      </w:r>
      <w:r>
        <w:rPr>
          <w:spacing w:val="1"/>
        </w:rPr>
        <w:t xml:space="preserve"> </w:t>
      </w:r>
      <w:r>
        <w:t>maximum,</w:t>
      </w:r>
      <w:r>
        <w:rPr>
          <w:spacing w:val="1"/>
        </w:rPr>
        <w:t xml:space="preserve"> </w:t>
      </w:r>
      <w:r>
        <w:t>minimum,</w:t>
      </w:r>
      <w:r>
        <w:rPr>
          <w:spacing w:val="1"/>
        </w:rPr>
        <w:t xml:space="preserve"> </w:t>
      </w:r>
      <w:r>
        <w:t>and</w:t>
      </w:r>
      <w:r>
        <w:rPr>
          <w:spacing w:val="1"/>
        </w:rPr>
        <w:t xml:space="preserve"> </w:t>
      </w:r>
      <w:r>
        <w:t>mean</w:t>
      </w:r>
      <w:r>
        <w:rPr>
          <w:spacing w:val="1"/>
        </w:rPr>
        <w:t xml:space="preserve"> </w:t>
      </w:r>
      <w:r>
        <w:t>NDVI</w:t>
      </w:r>
      <w:r>
        <w:rPr>
          <w:spacing w:val="1"/>
        </w:rPr>
        <w:t xml:space="preserve"> </w:t>
      </w:r>
      <w:r>
        <w:t>values</w:t>
      </w:r>
      <w:r>
        <w:rPr>
          <w:spacing w:val="1"/>
        </w:rPr>
        <w:t xml:space="preserve"> </w:t>
      </w:r>
      <w:r>
        <w:t>for</w:t>
      </w:r>
      <w:r>
        <w:rPr>
          <w:spacing w:val="1"/>
        </w:rPr>
        <w:t xml:space="preserve"> </w:t>
      </w:r>
      <w:r>
        <w:t>each</w:t>
      </w:r>
      <w:r>
        <w:rPr>
          <w:spacing w:val="1"/>
        </w:rPr>
        <w:t xml:space="preserve"> </w:t>
      </w:r>
      <w:r>
        <w:t>year</w:t>
      </w:r>
      <w:r>
        <w:rPr>
          <w:spacing w:val="1"/>
        </w:rPr>
        <w:t xml:space="preserve"> </w:t>
      </w:r>
      <w:r>
        <w:t>analyzed.</w:t>
      </w:r>
      <w:r>
        <w:rPr>
          <w:spacing w:val="1"/>
        </w:rPr>
        <w:t xml:space="preserve"> </w:t>
      </w:r>
      <w:r>
        <w:t>The</w:t>
      </w:r>
      <w:r>
        <w:rPr>
          <w:spacing w:val="1"/>
        </w:rPr>
        <w:t xml:space="preserve"> </w:t>
      </w:r>
      <w:r>
        <w:t>representation of the NDVI values represents the level of vegetation cover in the Obuasi area.</w:t>
      </w:r>
    </w:p>
    <w:p w14:paraId="39EF6D01" w14:textId="77777777" w:rsidR="00223E8C" w:rsidRDefault="00223E8C">
      <w:pPr>
        <w:pStyle w:val="BodyText"/>
        <w:spacing w:before="10"/>
        <w:rPr>
          <w:sz w:val="20"/>
        </w:rPr>
      </w:pPr>
    </w:p>
    <w:p w14:paraId="31359036" w14:textId="77777777" w:rsidR="00223E8C" w:rsidRDefault="00000000">
      <w:pPr>
        <w:pStyle w:val="BodyText"/>
        <w:spacing w:line="480" w:lineRule="auto"/>
        <w:ind w:left="100" w:right="145"/>
        <w:jc w:val="both"/>
      </w:pPr>
      <w:r>
        <w:t>It is imperative to note that in areas like Obuasi, where vegetation cover is typically sparse</w:t>
      </w:r>
      <w:r>
        <w:rPr>
          <w:spacing w:val="1"/>
        </w:rPr>
        <w:t xml:space="preserve"> </w:t>
      </w:r>
      <w:r>
        <w:t>compared</w:t>
      </w:r>
      <w:r>
        <w:rPr>
          <w:spacing w:val="1"/>
        </w:rPr>
        <w:t xml:space="preserve"> </w:t>
      </w:r>
      <w:r>
        <w:t>to</w:t>
      </w:r>
      <w:r>
        <w:rPr>
          <w:spacing w:val="1"/>
        </w:rPr>
        <w:t xml:space="preserve"> </w:t>
      </w:r>
      <w:r>
        <w:t>forests</w:t>
      </w:r>
      <w:r>
        <w:rPr>
          <w:spacing w:val="1"/>
        </w:rPr>
        <w:t xml:space="preserve"> </w:t>
      </w:r>
      <w:r>
        <w:t>or</w:t>
      </w:r>
      <w:r>
        <w:rPr>
          <w:spacing w:val="1"/>
        </w:rPr>
        <w:t xml:space="preserve"> </w:t>
      </w:r>
      <w:r>
        <w:t>rural</w:t>
      </w:r>
      <w:r>
        <w:rPr>
          <w:spacing w:val="1"/>
        </w:rPr>
        <w:t xml:space="preserve"> </w:t>
      </w:r>
      <w:r>
        <w:t>areas,</w:t>
      </w:r>
      <w:r>
        <w:rPr>
          <w:spacing w:val="1"/>
        </w:rPr>
        <w:t xml:space="preserve"> </w:t>
      </w:r>
      <w:r>
        <w:t>the</w:t>
      </w:r>
      <w:r>
        <w:rPr>
          <w:spacing w:val="1"/>
        </w:rPr>
        <w:t xml:space="preserve"> </w:t>
      </w:r>
      <w:r>
        <w:t>standard</w:t>
      </w:r>
      <w:r>
        <w:rPr>
          <w:spacing w:val="1"/>
        </w:rPr>
        <w:t xml:space="preserve"> </w:t>
      </w:r>
      <w:r>
        <w:t>NDVI</w:t>
      </w:r>
      <w:r>
        <w:rPr>
          <w:spacing w:val="1"/>
        </w:rPr>
        <w:t xml:space="preserve"> </w:t>
      </w:r>
      <w:r>
        <w:t>classification</w:t>
      </w:r>
      <w:r>
        <w:rPr>
          <w:spacing w:val="1"/>
        </w:rPr>
        <w:t xml:space="preserve"> </w:t>
      </w:r>
      <w:r>
        <w:t>ranges</w:t>
      </w:r>
      <w:r>
        <w:rPr>
          <w:spacing w:val="1"/>
        </w:rPr>
        <w:t xml:space="preserve"> </w:t>
      </w:r>
      <w:r>
        <w:t>may</w:t>
      </w:r>
      <w:r>
        <w:rPr>
          <w:spacing w:val="1"/>
        </w:rPr>
        <w:t xml:space="preserve"> </w:t>
      </w:r>
      <w:r>
        <w:t>need</w:t>
      </w:r>
      <w:r>
        <w:rPr>
          <w:spacing w:val="1"/>
        </w:rPr>
        <w:t xml:space="preserve"> </w:t>
      </w:r>
      <w:r>
        <w:t>adjustments.</w:t>
      </w:r>
      <w:r>
        <w:rPr>
          <w:spacing w:val="1"/>
        </w:rPr>
        <w:t xml:space="preserve"> </w:t>
      </w:r>
      <w:r>
        <w:t>Urban</w:t>
      </w:r>
      <w:r>
        <w:rPr>
          <w:spacing w:val="1"/>
        </w:rPr>
        <w:t xml:space="preserve"> </w:t>
      </w:r>
      <w:r>
        <w:t>environments</w:t>
      </w:r>
      <w:r>
        <w:rPr>
          <w:spacing w:val="1"/>
        </w:rPr>
        <w:t xml:space="preserve"> </w:t>
      </w:r>
      <w:r>
        <w:t>often</w:t>
      </w:r>
      <w:r>
        <w:rPr>
          <w:spacing w:val="1"/>
        </w:rPr>
        <w:t xml:space="preserve"> </w:t>
      </w:r>
      <w:r>
        <w:t>have</w:t>
      </w:r>
      <w:r>
        <w:rPr>
          <w:spacing w:val="1"/>
        </w:rPr>
        <w:t xml:space="preserve"> </w:t>
      </w:r>
      <w:r>
        <w:t>a</w:t>
      </w:r>
      <w:r>
        <w:rPr>
          <w:spacing w:val="1"/>
        </w:rPr>
        <w:t xml:space="preserve"> </w:t>
      </w:r>
      <w:r>
        <w:t>higher</w:t>
      </w:r>
      <w:r>
        <w:rPr>
          <w:spacing w:val="1"/>
        </w:rPr>
        <w:t xml:space="preserve"> </w:t>
      </w:r>
      <w:r>
        <w:t>proportion</w:t>
      </w:r>
      <w:r>
        <w:rPr>
          <w:spacing w:val="1"/>
        </w:rPr>
        <w:t xml:space="preserve"> </w:t>
      </w:r>
      <w:r>
        <w:t>of</w:t>
      </w:r>
      <w:r>
        <w:rPr>
          <w:spacing w:val="1"/>
        </w:rPr>
        <w:t xml:space="preserve"> </w:t>
      </w:r>
      <w:r>
        <w:t>built-up</w:t>
      </w:r>
      <w:r>
        <w:rPr>
          <w:spacing w:val="1"/>
        </w:rPr>
        <w:t xml:space="preserve"> </w:t>
      </w:r>
      <w:r>
        <w:t>areas</w:t>
      </w:r>
      <w:r>
        <w:rPr>
          <w:spacing w:val="60"/>
        </w:rPr>
        <w:t xml:space="preserve"> </w:t>
      </w:r>
      <w:r>
        <w:t>and</w:t>
      </w:r>
      <w:r>
        <w:rPr>
          <w:spacing w:val="1"/>
        </w:rPr>
        <w:t xml:space="preserve"> </w:t>
      </w:r>
      <w:r>
        <w:t>impervious surfaces, which can result in lower NDVI values that do not fit neatly into traditional</w:t>
      </w:r>
      <w:r>
        <w:rPr>
          <w:spacing w:val="1"/>
        </w:rPr>
        <w:t xml:space="preserve"> </w:t>
      </w:r>
      <w:r>
        <w:t>high</w:t>
      </w:r>
      <w:r>
        <w:rPr>
          <w:spacing w:val="1"/>
        </w:rPr>
        <w:t xml:space="preserve"> </w:t>
      </w:r>
      <w:r>
        <w:t>vegetation</w:t>
      </w:r>
      <w:r>
        <w:rPr>
          <w:spacing w:val="1"/>
        </w:rPr>
        <w:t xml:space="preserve"> </w:t>
      </w:r>
      <w:r>
        <w:t>categories.</w:t>
      </w:r>
      <w:r>
        <w:rPr>
          <w:spacing w:val="1"/>
        </w:rPr>
        <w:t xml:space="preserve"> </w:t>
      </w:r>
      <w:r>
        <w:t>Therefore,</w:t>
      </w:r>
      <w:r>
        <w:rPr>
          <w:spacing w:val="1"/>
        </w:rPr>
        <w:t xml:space="preserve"> </w:t>
      </w:r>
      <w:r>
        <w:t>while</w:t>
      </w:r>
      <w:r>
        <w:rPr>
          <w:spacing w:val="1"/>
        </w:rPr>
        <w:t xml:space="preserve"> </w:t>
      </w:r>
      <w:r>
        <w:t>the</w:t>
      </w:r>
      <w:r>
        <w:rPr>
          <w:spacing w:val="1"/>
        </w:rPr>
        <w:t xml:space="preserve"> </w:t>
      </w:r>
      <w:r>
        <w:t>standard</w:t>
      </w:r>
      <w:r>
        <w:rPr>
          <w:spacing w:val="1"/>
        </w:rPr>
        <w:t xml:space="preserve"> </w:t>
      </w:r>
      <w:r>
        <w:t>NDVI</w:t>
      </w:r>
      <w:r>
        <w:rPr>
          <w:spacing w:val="1"/>
        </w:rPr>
        <w:t xml:space="preserve"> </w:t>
      </w:r>
      <w:r>
        <w:t>ranges</w:t>
      </w:r>
      <w:r>
        <w:rPr>
          <w:spacing w:val="1"/>
        </w:rPr>
        <w:t xml:space="preserve"> </w:t>
      </w:r>
      <w:r>
        <w:t>provide</w:t>
      </w:r>
      <w:r>
        <w:rPr>
          <w:spacing w:val="1"/>
        </w:rPr>
        <w:t xml:space="preserve"> </w:t>
      </w:r>
      <w:r>
        <w:t>a</w:t>
      </w:r>
      <w:r>
        <w:rPr>
          <w:spacing w:val="1"/>
        </w:rPr>
        <w:t xml:space="preserve"> </w:t>
      </w:r>
      <w:r>
        <w:t>useful</w:t>
      </w:r>
      <w:r>
        <w:rPr>
          <w:spacing w:val="1"/>
        </w:rPr>
        <w:t xml:space="preserve"> </w:t>
      </w:r>
      <w:r>
        <w:t>framework,</w:t>
      </w:r>
      <w:r>
        <w:rPr>
          <w:spacing w:val="1"/>
        </w:rPr>
        <w:t xml:space="preserve"> </w:t>
      </w:r>
      <w:r>
        <w:t>they</w:t>
      </w:r>
      <w:r>
        <w:rPr>
          <w:spacing w:val="1"/>
        </w:rPr>
        <w:t xml:space="preserve"> </w:t>
      </w:r>
      <w:r>
        <w:t>may</w:t>
      </w:r>
      <w:r>
        <w:rPr>
          <w:spacing w:val="1"/>
        </w:rPr>
        <w:t xml:space="preserve"> </w:t>
      </w:r>
      <w:r>
        <w:t>not</w:t>
      </w:r>
      <w:r>
        <w:rPr>
          <w:spacing w:val="1"/>
        </w:rPr>
        <w:t xml:space="preserve"> </w:t>
      </w:r>
      <w:r>
        <w:t>be</w:t>
      </w:r>
      <w:r>
        <w:rPr>
          <w:spacing w:val="1"/>
        </w:rPr>
        <w:t xml:space="preserve"> </w:t>
      </w:r>
      <w:r>
        <w:t>strictly</w:t>
      </w:r>
      <w:r>
        <w:rPr>
          <w:spacing w:val="1"/>
        </w:rPr>
        <w:t xml:space="preserve"> </w:t>
      </w:r>
      <w:r>
        <w:t>applicable</w:t>
      </w:r>
      <w:r>
        <w:rPr>
          <w:spacing w:val="1"/>
        </w:rPr>
        <w:t xml:space="preserve"> </w:t>
      </w:r>
      <w:r>
        <w:t>in</w:t>
      </w:r>
      <w:r>
        <w:rPr>
          <w:spacing w:val="1"/>
        </w:rPr>
        <w:t xml:space="preserve"> </w:t>
      </w:r>
      <w:r>
        <w:t>urban</w:t>
      </w:r>
      <w:r>
        <w:rPr>
          <w:spacing w:val="1"/>
        </w:rPr>
        <w:t xml:space="preserve"> </w:t>
      </w:r>
      <w:r>
        <w:t>contexts without some adaptation.</w:t>
      </w:r>
      <w:r>
        <w:rPr>
          <w:spacing w:val="1"/>
        </w:rPr>
        <w:t xml:space="preserve"> </w:t>
      </w:r>
      <w:r>
        <w:t>Adjusting the classification ranges can help accurately reflect the specific vegetation dynamics</w:t>
      </w:r>
      <w:r>
        <w:rPr>
          <w:spacing w:val="1"/>
        </w:rPr>
        <w:t xml:space="preserve"> </w:t>
      </w:r>
      <w:r>
        <w:t>and land use patterns characteristic of urban areas like Obuasi.</w:t>
      </w:r>
    </w:p>
    <w:p w14:paraId="6EEA4114" w14:textId="77777777" w:rsidR="00223E8C" w:rsidRDefault="00223E8C">
      <w:pPr>
        <w:pStyle w:val="BodyText"/>
        <w:spacing w:before="10"/>
        <w:rPr>
          <w:sz w:val="20"/>
        </w:rPr>
      </w:pPr>
    </w:p>
    <w:p w14:paraId="2BCF97D3" w14:textId="77777777" w:rsidR="00223E8C" w:rsidRDefault="00000000">
      <w:pPr>
        <w:pStyle w:val="BodyText"/>
        <w:spacing w:line="480" w:lineRule="auto"/>
        <w:ind w:left="100" w:right="142"/>
        <w:jc w:val="both"/>
      </w:pPr>
      <w:r>
        <w:t>NDVI</w:t>
      </w:r>
      <w:r>
        <w:rPr>
          <w:spacing w:val="1"/>
        </w:rPr>
        <w:t xml:space="preserve"> </w:t>
      </w:r>
      <w:r>
        <w:t>values</w:t>
      </w:r>
      <w:r>
        <w:rPr>
          <w:spacing w:val="60"/>
        </w:rPr>
        <w:t xml:space="preserve"> </w:t>
      </w:r>
      <w:r>
        <w:t>typically range from -1 to 1 and provide crucial information about vegetation</w:t>
      </w:r>
      <w:r>
        <w:rPr>
          <w:spacing w:val="1"/>
        </w:rPr>
        <w:t xml:space="preserve"> </w:t>
      </w:r>
      <w:r>
        <w:t>health and coverage. Low values (NDVI &lt; 0.1) correspond to areas with sparse vegetation, such</w:t>
      </w:r>
      <w:r>
        <w:rPr>
          <w:spacing w:val="1"/>
        </w:rPr>
        <w:t xml:space="preserve"> </w:t>
      </w:r>
      <w:r>
        <w:t>as shrubs or grasslands, water bodies or non-vegetated areas like bare soil, rocks, or urban areas.</w:t>
      </w:r>
      <w:r>
        <w:rPr>
          <w:spacing w:val="1"/>
        </w:rPr>
        <w:t xml:space="preserve"> </w:t>
      </w:r>
      <w:r>
        <w:t>Moderate values (0.1 ≤ NDVI ≤ 0.3) indicate moderate density vegetation, including crops and</w:t>
      </w:r>
      <w:r>
        <w:rPr>
          <w:spacing w:val="1"/>
        </w:rPr>
        <w:t xml:space="preserve"> </w:t>
      </w:r>
      <w:r>
        <w:t>forests with some canopy gaps. High values (NDVI &gt; 0.3) signify dense and healthy vegetation,</w:t>
      </w:r>
      <w:r>
        <w:rPr>
          <w:spacing w:val="1"/>
        </w:rPr>
        <w:t xml:space="preserve"> </w:t>
      </w:r>
      <w:r>
        <w:t>such as tropical rainforests or very healthy crops. This study categorized the NDVI values into</w:t>
      </w:r>
      <w:r>
        <w:rPr>
          <w:spacing w:val="1"/>
        </w:rPr>
        <w:t xml:space="preserve"> </w:t>
      </w:r>
      <w:r>
        <w:t>three sections: low vegetation, medium vegetation, and high vegetation areas. The values derived</w:t>
      </w:r>
      <w:r>
        <w:rPr>
          <w:spacing w:val="-57"/>
        </w:rPr>
        <w:t xml:space="preserve"> </w:t>
      </w:r>
      <w:r>
        <w:t>from</w:t>
      </w:r>
      <w:r>
        <w:rPr>
          <w:spacing w:val="-1"/>
        </w:rPr>
        <w:t xml:space="preserve"> </w:t>
      </w:r>
      <w:r>
        <w:t>the analysis</w:t>
      </w:r>
      <w:r>
        <w:rPr>
          <w:spacing w:val="-1"/>
        </w:rPr>
        <w:t xml:space="preserve"> </w:t>
      </w:r>
      <w:r>
        <w:t>is represented in</w:t>
      </w:r>
      <w:r>
        <w:rPr>
          <w:spacing w:val="-1"/>
        </w:rPr>
        <w:t xml:space="preserve"> </w:t>
      </w:r>
      <w:r>
        <w:t>Table 1</w:t>
      </w:r>
      <w:r>
        <w:rPr>
          <w:spacing w:val="-1"/>
        </w:rPr>
        <w:t xml:space="preserve"> </w:t>
      </w:r>
      <w:r>
        <w:t>below.</w:t>
      </w:r>
    </w:p>
    <w:p w14:paraId="5600415C" w14:textId="77777777" w:rsidR="00223E8C" w:rsidRDefault="00223E8C">
      <w:pPr>
        <w:spacing w:line="480" w:lineRule="auto"/>
        <w:jc w:val="both"/>
        <w:sectPr w:rsidR="00223E8C">
          <w:pgSz w:w="12240" w:h="15840"/>
          <w:pgMar w:top="1380" w:right="1300" w:bottom="1000" w:left="1340" w:header="0" w:footer="804" w:gutter="0"/>
          <w:cols w:space="720"/>
        </w:sectPr>
      </w:pPr>
    </w:p>
    <w:p w14:paraId="62D839BE" w14:textId="77777777" w:rsidR="00223E8C" w:rsidRDefault="00000000">
      <w:pPr>
        <w:spacing w:before="60"/>
        <w:ind w:left="100"/>
        <w:rPr>
          <w:i/>
          <w:sz w:val="24"/>
        </w:rPr>
      </w:pPr>
      <w:r>
        <w:rPr>
          <w:i/>
          <w:sz w:val="24"/>
        </w:rPr>
        <w:lastRenderedPageBreak/>
        <w:t>Table</w:t>
      </w:r>
      <w:r>
        <w:rPr>
          <w:i/>
          <w:spacing w:val="-8"/>
          <w:sz w:val="24"/>
        </w:rPr>
        <w:t xml:space="preserve"> </w:t>
      </w:r>
      <w:r>
        <w:rPr>
          <w:i/>
          <w:sz w:val="24"/>
        </w:rPr>
        <w:t>1:</w:t>
      </w:r>
      <w:r>
        <w:rPr>
          <w:i/>
          <w:spacing w:val="-7"/>
          <w:sz w:val="24"/>
        </w:rPr>
        <w:t xml:space="preserve"> </w:t>
      </w:r>
      <w:r>
        <w:rPr>
          <w:i/>
          <w:sz w:val="24"/>
        </w:rPr>
        <w:t>NDVI</w:t>
      </w:r>
      <w:r>
        <w:rPr>
          <w:i/>
          <w:spacing w:val="-7"/>
          <w:sz w:val="24"/>
        </w:rPr>
        <w:t xml:space="preserve"> </w:t>
      </w:r>
      <w:r>
        <w:rPr>
          <w:i/>
          <w:sz w:val="24"/>
        </w:rPr>
        <w:t>Values</w:t>
      </w:r>
      <w:r>
        <w:rPr>
          <w:i/>
          <w:spacing w:val="-7"/>
          <w:sz w:val="24"/>
        </w:rPr>
        <w:t xml:space="preserve"> </w:t>
      </w:r>
      <w:r>
        <w:rPr>
          <w:i/>
          <w:sz w:val="24"/>
        </w:rPr>
        <w:t>from</w:t>
      </w:r>
      <w:r>
        <w:rPr>
          <w:i/>
          <w:spacing w:val="-7"/>
          <w:sz w:val="24"/>
        </w:rPr>
        <w:t xml:space="preserve"> </w:t>
      </w:r>
      <w:r>
        <w:rPr>
          <w:i/>
          <w:sz w:val="24"/>
        </w:rPr>
        <w:t>1990</w:t>
      </w:r>
      <w:r>
        <w:rPr>
          <w:i/>
          <w:spacing w:val="-7"/>
          <w:sz w:val="24"/>
        </w:rPr>
        <w:t xml:space="preserve"> </w:t>
      </w:r>
      <w:r>
        <w:rPr>
          <w:i/>
          <w:sz w:val="24"/>
        </w:rPr>
        <w:t>to</w:t>
      </w:r>
      <w:r>
        <w:rPr>
          <w:i/>
          <w:spacing w:val="-7"/>
          <w:sz w:val="24"/>
        </w:rPr>
        <w:t xml:space="preserve"> </w:t>
      </w:r>
      <w:r>
        <w:rPr>
          <w:i/>
          <w:sz w:val="24"/>
        </w:rPr>
        <w:t>2024</w:t>
      </w:r>
    </w:p>
    <w:p w14:paraId="1C2C0744" w14:textId="77777777" w:rsidR="00223E8C" w:rsidRDefault="00223E8C">
      <w:pPr>
        <w:pStyle w:val="BodyText"/>
        <w:rPr>
          <w:i/>
          <w:sz w:val="20"/>
        </w:rPr>
      </w:pPr>
    </w:p>
    <w:p w14:paraId="601F7BFD" w14:textId="77777777" w:rsidR="00223E8C" w:rsidRDefault="00223E8C">
      <w:pPr>
        <w:pStyle w:val="BodyText"/>
        <w:rPr>
          <w:i/>
          <w:sz w:val="20"/>
        </w:rPr>
      </w:pPr>
    </w:p>
    <w:p w14:paraId="32E49345" w14:textId="77777777" w:rsidR="00223E8C" w:rsidRDefault="00223E8C">
      <w:pPr>
        <w:pStyle w:val="BodyText"/>
        <w:rPr>
          <w:i/>
          <w:sz w:val="20"/>
        </w:rPr>
      </w:pPr>
    </w:p>
    <w:p w14:paraId="05F2894C" w14:textId="77777777" w:rsidR="00223E8C" w:rsidRDefault="00223E8C">
      <w:pPr>
        <w:pStyle w:val="BodyText"/>
        <w:spacing w:before="8"/>
        <w:rPr>
          <w:i/>
          <w:sz w:val="15"/>
        </w:rPr>
      </w:pPr>
    </w:p>
    <w:tbl>
      <w:tblPr>
        <w:tblW w:w="0" w:type="auto"/>
        <w:tblInd w:w="162" w:type="dxa"/>
        <w:tblLayout w:type="fixed"/>
        <w:tblCellMar>
          <w:left w:w="0" w:type="dxa"/>
          <w:right w:w="0" w:type="dxa"/>
        </w:tblCellMar>
        <w:tblLook w:val="01E0" w:firstRow="1" w:lastRow="1" w:firstColumn="1" w:lastColumn="1" w:noHBand="0" w:noVBand="0"/>
      </w:tblPr>
      <w:tblGrid>
        <w:gridCol w:w="649"/>
        <w:gridCol w:w="1923"/>
        <w:gridCol w:w="1964"/>
        <w:gridCol w:w="1423"/>
      </w:tblGrid>
      <w:tr w:rsidR="00223E8C" w14:paraId="084EDFE8" w14:textId="77777777">
        <w:trPr>
          <w:trHeight w:val="615"/>
        </w:trPr>
        <w:tc>
          <w:tcPr>
            <w:tcW w:w="649" w:type="dxa"/>
          </w:tcPr>
          <w:p w14:paraId="4489EA2C" w14:textId="77777777" w:rsidR="00223E8C" w:rsidRDefault="00000000">
            <w:pPr>
              <w:pStyle w:val="TableParagraph"/>
              <w:spacing w:line="266" w:lineRule="exact"/>
              <w:ind w:left="77"/>
              <w:rPr>
                <w:b/>
                <w:i/>
                <w:sz w:val="24"/>
              </w:rPr>
            </w:pPr>
            <w:r>
              <w:rPr>
                <w:b/>
                <w:i/>
                <w:sz w:val="24"/>
              </w:rPr>
              <w:t>Year</w:t>
            </w:r>
          </w:p>
        </w:tc>
        <w:tc>
          <w:tcPr>
            <w:tcW w:w="1923" w:type="dxa"/>
          </w:tcPr>
          <w:p w14:paraId="79E97159" w14:textId="77777777" w:rsidR="00223E8C" w:rsidRDefault="00000000">
            <w:pPr>
              <w:pStyle w:val="TableParagraph"/>
              <w:spacing w:line="266" w:lineRule="exact"/>
              <w:ind w:left="91" w:right="91"/>
              <w:jc w:val="center"/>
              <w:rPr>
                <w:b/>
                <w:sz w:val="24"/>
              </w:rPr>
            </w:pPr>
            <w:r>
              <w:rPr>
                <w:b/>
                <w:sz w:val="24"/>
              </w:rPr>
              <w:t>Minimum NDVI</w:t>
            </w:r>
          </w:p>
        </w:tc>
        <w:tc>
          <w:tcPr>
            <w:tcW w:w="1964" w:type="dxa"/>
          </w:tcPr>
          <w:p w14:paraId="0BAE5B98" w14:textId="77777777" w:rsidR="00223E8C" w:rsidRDefault="00000000">
            <w:pPr>
              <w:pStyle w:val="TableParagraph"/>
              <w:spacing w:line="266" w:lineRule="exact"/>
              <w:ind w:left="91" w:right="93"/>
              <w:jc w:val="center"/>
              <w:rPr>
                <w:b/>
                <w:sz w:val="24"/>
              </w:rPr>
            </w:pPr>
            <w:r>
              <w:rPr>
                <w:b/>
                <w:sz w:val="24"/>
              </w:rPr>
              <w:t>Maximum NDVI</w:t>
            </w:r>
          </w:p>
        </w:tc>
        <w:tc>
          <w:tcPr>
            <w:tcW w:w="1423" w:type="dxa"/>
          </w:tcPr>
          <w:p w14:paraId="3AFC9E3A" w14:textId="77777777" w:rsidR="00223E8C" w:rsidRDefault="00000000">
            <w:pPr>
              <w:pStyle w:val="TableParagraph"/>
              <w:spacing w:line="266" w:lineRule="exact"/>
              <w:ind w:left="91" w:right="31"/>
              <w:jc w:val="center"/>
              <w:rPr>
                <w:b/>
                <w:sz w:val="24"/>
              </w:rPr>
            </w:pPr>
            <w:r>
              <w:rPr>
                <w:b/>
                <w:sz w:val="24"/>
              </w:rPr>
              <w:t>Mean NDVI</w:t>
            </w:r>
          </w:p>
        </w:tc>
      </w:tr>
      <w:tr w:rsidR="00223E8C" w14:paraId="3990FE87" w14:textId="77777777">
        <w:trPr>
          <w:trHeight w:val="965"/>
        </w:trPr>
        <w:tc>
          <w:tcPr>
            <w:tcW w:w="649" w:type="dxa"/>
          </w:tcPr>
          <w:p w14:paraId="54F069AC" w14:textId="77777777" w:rsidR="00223E8C" w:rsidRDefault="00223E8C">
            <w:pPr>
              <w:pStyle w:val="TableParagraph"/>
              <w:spacing w:before="6"/>
              <w:rPr>
                <w:i/>
                <w:sz w:val="29"/>
              </w:rPr>
            </w:pPr>
          </w:p>
          <w:p w14:paraId="2612D3A3" w14:textId="77777777" w:rsidR="00223E8C" w:rsidRDefault="00000000">
            <w:pPr>
              <w:pStyle w:val="TableParagraph"/>
              <w:ind w:left="57"/>
              <w:rPr>
                <w:b/>
                <w:sz w:val="24"/>
              </w:rPr>
            </w:pPr>
            <w:r>
              <w:rPr>
                <w:b/>
                <w:sz w:val="24"/>
              </w:rPr>
              <w:t>1990</w:t>
            </w:r>
          </w:p>
        </w:tc>
        <w:tc>
          <w:tcPr>
            <w:tcW w:w="1923" w:type="dxa"/>
          </w:tcPr>
          <w:p w14:paraId="3B4DDA20" w14:textId="77777777" w:rsidR="00223E8C" w:rsidRDefault="00223E8C">
            <w:pPr>
              <w:pStyle w:val="TableParagraph"/>
              <w:spacing w:before="6"/>
              <w:rPr>
                <w:i/>
                <w:sz w:val="29"/>
              </w:rPr>
            </w:pPr>
          </w:p>
          <w:p w14:paraId="34B5C329" w14:textId="77777777" w:rsidR="00223E8C" w:rsidRDefault="00000000">
            <w:pPr>
              <w:pStyle w:val="TableParagraph"/>
              <w:ind w:left="91" w:right="91"/>
              <w:jc w:val="center"/>
              <w:rPr>
                <w:sz w:val="24"/>
              </w:rPr>
            </w:pPr>
            <w:r>
              <w:rPr>
                <w:sz w:val="24"/>
              </w:rPr>
              <w:t>-0.0093842</w:t>
            </w:r>
          </w:p>
        </w:tc>
        <w:tc>
          <w:tcPr>
            <w:tcW w:w="1964" w:type="dxa"/>
          </w:tcPr>
          <w:p w14:paraId="3C0CC4F3" w14:textId="77777777" w:rsidR="00223E8C" w:rsidRDefault="00223E8C">
            <w:pPr>
              <w:pStyle w:val="TableParagraph"/>
              <w:spacing w:before="6"/>
              <w:rPr>
                <w:i/>
                <w:sz w:val="29"/>
              </w:rPr>
            </w:pPr>
          </w:p>
          <w:p w14:paraId="50EC7BF0" w14:textId="77777777" w:rsidR="00223E8C" w:rsidRDefault="00000000">
            <w:pPr>
              <w:pStyle w:val="TableParagraph"/>
              <w:ind w:left="91" w:right="93"/>
              <w:jc w:val="center"/>
              <w:rPr>
                <w:sz w:val="24"/>
              </w:rPr>
            </w:pPr>
            <w:r>
              <w:rPr>
                <w:sz w:val="24"/>
              </w:rPr>
              <w:t>0.524745</w:t>
            </w:r>
          </w:p>
        </w:tc>
        <w:tc>
          <w:tcPr>
            <w:tcW w:w="1423" w:type="dxa"/>
          </w:tcPr>
          <w:p w14:paraId="1B5B81FA" w14:textId="77777777" w:rsidR="00223E8C" w:rsidRDefault="00223E8C">
            <w:pPr>
              <w:pStyle w:val="TableParagraph"/>
              <w:spacing w:before="6"/>
              <w:rPr>
                <w:i/>
                <w:sz w:val="29"/>
              </w:rPr>
            </w:pPr>
          </w:p>
          <w:p w14:paraId="20961ADB" w14:textId="77777777" w:rsidR="00223E8C" w:rsidRDefault="00000000">
            <w:pPr>
              <w:pStyle w:val="TableParagraph"/>
              <w:ind w:left="91" w:right="31"/>
              <w:jc w:val="center"/>
              <w:rPr>
                <w:sz w:val="24"/>
              </w:rPr>
            </w:pPr>
            <w:r>
              <w:rPr>
                <w:sz w:val="24"/>
              </w:rPr>
              <w:t>0.2576804</w:t>
            </w:r>
          </w:p>
        </w:tc>
      </w:tr>
      <w:tr w:rsidR="00223E8C" w14:paraId="43932B9D" w14:textId="77777777">
        <w:trPr>
          <w:trHeight w:val="965"/>
        </w:trPr>
        <w:tc>
          <w:tcPr>
            <w:tcW w:w="649" w:type="dxa"/>
          </w:tcPr>
          <w:p w14:paraId="0A815903" w14:textId="77777777" w:rsidR="00223E8C" w:rsidRDefault="00223E8C">
            <w:pPr>
              <w:pStyle w:val="TableParagraph"/>
              <w:spacing w:before="6"/>
              <w:rPr>
                <w:i/>
                <w:sz w:val="29"/>
              </w:rPr>
            </w:pPr>
          </w:p>
          <w:p w14:paraId="1F408502" w14:textId="77777777" w:rsidR="00223E8C" w:rsidRDefault="00000000">
            <w:pPr>
              <w:pStyle w:val="TableParagraph"/>
              <w:ind w:left="50"/>
              <w:rPr>
                <w:b/>
                <w:sz w:val="24"/>
              </w:rPr>
            </w:pPr>
            <w:r>
              <w:rPr>
                <w:b/>
                <w:sz w:val="24"/>
              </w:rPr>
              <w:t>2000</w:t>
            </w:r>
          </w:p>
        </w:tc>
        <w:tc>
          <w:tcPr>
            <w:tcW w:w="1923" w:type="dxa"/>
          </w:tcPr>
          <w:p w14:paraId="093B6B0E" w14:textId="77777777" w:rsidR="00223E8C" w:rsidRDefault="00223E8C">
            <w:pPr>
              <w:pStyle w:val="TableParagraph"/>
              <w:spacing w:before="6"/>
              <w:rPr>
                <w:i/>
                <w:sz w:val="29"/>
              </w:rPr>
            </w:pPr>
          </w:p>
          <w:p w14:paraId="4786BCF2" w14:textId="77777777" w:rsidR="00223E8C" w:rsidRDefault="00000000">
            <w:pPr>
              <w:pStyle w:val="TableParagraph"/>
              <w:ind w:left="91" w:right="91"/>
              <w:jc w:val="center"/>
              <w:rPr>
                <w:sz w:val="24"/>
              </w:rPr>
            </w:pPr>
            <w:r>
              <w:rPr>
                <w:sz w:val="24"/>
              </w:rPr>
              <w:t>-0.339806</w:t>
            </w:r>
          </w:p>
        </w:tc>
        <w:tc>
          <w:tcPr>
            <w:tcW w:w="1964" w:type="dxa"/>
          </w:tcPr>
          <w:p w14:paraId="170B66FC" w14:textId="77777777" w:rsidR="00223E8C" w:rsidRDefault="00223E8C">
            <w:pPr>
              <w:pStyle w:val="TableParagraph"/>
              <w:spacing w:before="6"/>
              <w:rPr>
                <w:i/>
                <w:sz w:val="29"/>
              </w:rPr>
            </w:pPr>
          </w:p>
          <w:p w14:paraId="2B7A8792" w14:textId="77777777" w:rsidR="00223E8C" w:rsidRDefault="00000000">
            <w:pPr>
              <w:pStyle w:val="TableParagraph"/>
              <w:ind w:left="91" w:right="93"/>
              <w:jc w:val="center"/>
              <w:rPr>
                <w:sz w:val="24"/>
              </w:rPr>
            </w:pPr>
            <w:r>
              <w:rPr>
                <w:sz w:val="24"/>
              </w:rPr>
              <w:t>0.481865</w:t>
            </w:r>
          </w:p>
        </w:tc>
        <w:tc>
          <w:tcPr>
            <w:tcW w:w="1423" w:type="dxa"/>
          </w:tcPr>
          <w:p w14:paraId="16AFC475" w14:textId="77777777" w:rsidR="00223E8C" w:rsidRDefault="00223E8C">
            <w:pPr>
              <w:pStyle w:val="TableParagraph"/>
              <w:spacing w:before="6"/>
              <w:rPr>
                <w:i/>
                <w:sz w:val="29"/>
              </w:rPr>
            </w:pPr>
          </w:p>
          <w:p w14:paraId="70107CDD" w14:textId="77777777" w:rsidR="00223E8C" w:rsidRDefault="00000000">
            <w:pPr>
              <w:pStyle w:val="TableParagraph"/>
              <w:ind w:left="91" w:right="31"/>
              <w:jc w:val="center"/>
              <w:rPr>
                <w:sz w:val="24"/>
              </w:rPr>
            </w:pPr>
            <w:r>
              <w:rPr>
                <w:sz w:val="24"/>
              </w:rPr>
              <w:t>0.0710295</w:t>
            </w:r>
          </w:p>
        </w:tc>
      </w:tr>
      <w:tr w:rsidR="00223E8C" w14:paraId="551792E5" w14:textId="77777777">
        <w:trPr>
          <w:trHeight w:val="965"/>
        </w:trPr>
        <w:tc>
          <w:tcPr>
            <w:tcW w:w="649" w:type="dxa"/>
          </w:tcPr>
          <w:p w14:paraId="7FFCED4A" w14:textId="77777777" w:rsidR="00223E8C" w:rsidRDefault="00223E8C">
            <w:pPr>
              <w:pStyle w:val="TableParagraph"/>
              <w:spacing w:before="6"/>
              <w:rPr>
                <w:i/>
                <w:sz w:val="29"/>
              </w:rPr>
            </w:pPr>
          </w:p>
          <w:p w14:paraId="2528261F" w14:textId="77777777" w:rsidR="00223E8C" w:rsidRDefault="00000000">
            <w:pPr>
              <w:pStyle w:val="TableParagraph"/>
              <w:ind w:left="50"/>
              <w:rPr>
                <w:b/>
                <w:sz w:val="24"/>
              </w:rPr>
            </w:pPr>
            <w:r>
              <w:rPr>
                <w:b/>
                <w:sz w:val="24"/>
              </w:rPr>
              <w:t>2010</w:t>
            </w:r>
          </w:p>
        </w:tc>
        <w:tc>
          <w:tcPr>
            <w:tcW w:w="1923" w:type="dxa"/>
          </w:tcPr>
          <w:p w14:paraId="104B3F04" w14:textId="77777777" w:rsidR="00223E8C" w:rsidRDefault="00223E8C">
            <w:pPr>
              <w:pStyle w:val="TableParagraph"/>
              <w:spacing w:before="6"/>
              <w:rPr>
                <w:i/>
                <w:sz w:val="29"/>
              </w:rPr>
            </w:pPr>
          </w:p>
          <w:p w14:paraId="31BD486E" w14:textId="77777777" w:rsidR="00223E8C" w:rsidRDefault="00000000">
            <w:pPr>
              <w:pStyle w:val="TableParagraph"/>
              <w:ind w:left="91" w:right="91"/>
              <w:jc w:val="center"/>
              <w:rPr>
                <w:sz w:val="24"/>
              </w:rPr>
            </w:pPr>
            <w:r>
              <w:rPr>
                <w:sz w:val="24"/>
              </w:rPr>
              <w:t>-0.0918367</w:t>
            </w:r>
          </w:p>
        </w:tc>
        <w:tc>
          <w:tcPr>
            <w:tcW w:w="1964" w:type="dxa"/>
          </w:tcPr>
          <w:p w14:paraId="459084D8" w14:textId="77777777" w:rsidR="00223E8C" w:rsidRDefault="00223E8C">
            <w:pPr>
              <w:pStyle w:val="TableParagraph"/>
              <w:spacing w:before="6"/>
              <w:rPr>
                <w:i/>
                <w:sz w:val="29"/>
              </w:rPr>
            </w:pPr>
          </w:p>
          <w:p w14:paraId="544526FD" w14:textId="77777777" w:rsidR="00223E8C" w:rsidRDefault="00000000">
            <w:pPr>
              <w:pStyle w:val="TableParagraph"/>
              <w:ind w:left="91" w:right="93"/>
              <w:jc w:val="center"/>
              <w:rPr>
                <w:sz w:val="24"/>
              </w:rPr>
            </w:pPr>
            <w:r>
              <w:rPr>
                <w:sz w:val="24"/>
              </w:rPr>
              <w:t>0.385475</w:t>
            </w:r>
          </w:p>
        </w:tc>
        <w:tc>
          <w:tcPr>
            <w:tcW w:w="1423" w:type="dxa"/>
          </w:tcPr>
          <w:p w14:paraId="7BF58D8D" w14:textId="77777777" w:rsidR="00223E8C" w:rsidRDefault="00223E8C">
            <w:pPr>
              <w:pStyle w:val="TableParagraph"/>
              <w:spacing w:before="6"/>
              <w:rPr>
                <w:i/>
                <w:sz w:val="29"/>
              </w:rPr>
            </w:pPr>
          </w:p>
          <w:p w14:paraId="16444BAB" w14:textId="77777777" w:rsidR="00223E8C" w:rsidRDefault="00000000">
            <w:pPr>
              <w:pStyle w:val="TableParagraph"/>
              <w:ind w:left="91" w:right="31"/>
              <w:jc w:val="center"/>
              <w:rPr>
                <w:sz w:val="24"/>
              </w:rPr>
            </w:pPr>
            <w:r>
              <w:rPr>
                <w:sz w:val="24"/>
              </w:rPr>
              <w:t>0.14681915</w:t>
            </w:r>
          </w:p>
        </w:tc>
      </w:tr>
      <w:tr w:rsidR="00223E8C" w14:paraId="200ECAA8" w14:textId="77777777">
        <w:trPr>
          <w:trHeight w:val="965"/>
        </w:trPr>
        <w:tc>
          <w:tcPr>
            <w:tcW w:w="649" w:type="dxa"/>
          </w:tcPr>
          <w:p w14:paraId="046B48BE" w14:textId="77777777" w:rsidR="00223E8C" w:rsidRDefault="00223E8C">
            <w:pPr>
              <w:pStyle w:val="TableParagraph"/>
              <w:spacing w:before="6"/>
              <w:rPr>
                <w:i/>
                <w:sz w:val="29"/>
              </w:rPr>
            </w:pPr>
          </w:p>
          <w:p w14:paraId="22D24391" w14:textId="77777777" w:rsidR="00223E8C" w:rsidRDefault="00000000">
            <w:pPr>
              <w:pStyle w:val="TableParagraph"/>
              <w:ind w:left="50"/>
              <w:rPr>
                <w:b/>
                <w:sz w:val="24"/>
              </w:rPr>
            </w:pPr>
            <w:r>
              <w:rPr>
                <w:b/>
                <w:sz w:val="24"/>
              </w:rPr>
              <w:t>2020</w:t>
            </w:r>
          </w:p>
        </w:tc>
        <w:tc>
          <w:tcPr>
            <w:tcW w:w="1923" w:type="dxa"/>
          </w:tcPr>
          <w:p w14:paraId="7776E165" w14:textId="77777777" w:rsidR="00223E8C" w:rsidRDefault="00223E8C">
            <w:pPr>
              <w:pStyle w:val="TableParagraph"/>
              <w:spacing w:before="6"/>
              <w:rPr>
                <w:i/>
                <w:sz w:val="29"/>
              </w:rPr>
            </w:pPr>
          </w:p>
          <w:p w14:paraId="26B1EA16" w14:textId="77777777" w:rsidR="00223E8C" w:rsidRDefault="00000000">
            <w:pPr>
              <w:pStyle w:val="TableParagraph"/>
              <w:ind w:left="91" w:right="91"/>
              <w:jc w:val="center"/>
              <w:rPr>
                <w:sz w:val="24"/>
              </w:rPr>
            </w:pPr>
            <w:r>
              <w:rPr>
                <w:sz w:val="24"/>
              </w:rPr>
              <w:t>-0.145161</w:t>
            </w:r>
          </w:p>
        </w:tc>
        <w:tc>
          <w:tcPr>
            <w:tcW w:w="1964" w:type="dxa"/>
          </w:tcPr>
          <w:p w14:paraId="126E145A" w14:textId="77777777" w:rsidR="00223E8C" w:rsidRDefault="00223E8C">
            <w:pPr>
              <w:pStyle w:val="TableParagraph"/>
              <w:spacing w:before="6"/>
              <w:rPr>
                <w:i/>
                <w:sz w:val="29"/>
              </w:rPr>
            </w:pPr>
          </w:p>
          <w:p w14:paraId="240F89AD" w14:textId="77777777" w:rsidR="00223E8C" w:rsidRDefault="00000000">
            <w:pPr>
              <w:pStyle w:val="TableParagraph"/>
              <w:ind w:left="91" w:right="93"/>
              <w:jc w:val="center"/>
              <w:rPr>
                <w:sz w:val="24"/>
              </w:rPr>
            </w:pPr>
            <w:r>
              <w:rPr>
                <w:sz w:val="24"/>
              </w:rPr>
              <w:t>0.375</w:t>
            </w:r>
          </w:p>
        </w:tc>
        <w:tc>
          <w:tcPr>
            <w:tcW w:w="1423" w:type="dxa"/>
          </w:tcPr>
          <w:p w14:paraId="0321888B" w14:textId="77777777" w:rsidR="00223E8C" w:rsidRDefault="00223E8C">
            <w:pPr>
              <w:pStyle w:val="TableParagraph"/>
              <w:spacing w:before="6"/>
              <w:rPr>
                <w:i/>
                <w:sz w:val="29"/>
              </w:rPr>
            </w:pPr>
          </w:p>
          <w:p w14:paraId="387FF60B" w14:textId="77777777" w:rsidR="00223E8C" w:rsidRDefault="00000000">
            <w:pPr>
              <w:pStyle w:val="TableParagraph"/>
              <w:ind w:left="91" w:right="31"/>
              <w:jc w:val="center"/>
              <w:rPr>
                <w:sz w:val="24"/>
              </w:rPr>
            </w:pPr>
            <w:r>
              <w:rPr>
                <w:sz w:val="24"/>
              </w:rPr>
              <w:t>0.1149195</w:t>
            </w:r>
          </w:p>
        </w:tc>
      </w:tr>
      <w:tr w:rsidR="00223E8C" w14:paraId="1364D066" w14:textId="77777777">
        <w:trPr>
          <w:trHeight w:val="615"/>
        </w:trPr>
        <w:tc>
          <w:tcPr>
            <w:tcW w:w="649" w:type="dxa"/>
          </w:tcPr>
          <w:p w14:paraId="72816486" w14:textId="77777777" w:rsidR="00223E8C" w:rsidRDefault="00223E8C">
            <w:pPr>
              <w:pStyle w:val="TableParagraph"/>
              <w:spacing w:before="6"/>
              <w:rPr>
                <w:i/>
                <w:sz w:val="29"/>
              </w:rPr>
            </w:pPr>
          </w:p>
          <w:p w14:paraId="68FA4C2F" w14:textId="77777777" w:rsidR="00223E8C" w:rsidRDefault="00000000">
            <w:pPr>
              <w:pStyle w:val="TableParagraph"/>
              <w:spacing w:line="256" w:lineRule="exact"/>
              <w:ind w:left="50"/>
              <w:rPr>
                <w:b/>
                <w:sz w:val="24"/>
              </w:rPr>
            </w:pPr>
            <w:r>
              <w:rPr>
                <w:b/>
                <w:sz w:val="24"/>
              </w:rPr>
              <w:t>2024</w:t>
            </w:r>
          </w:p>
        </w:tc>
        <w:tc>
          <w:tcPr>
            <w:tcW w:w="1923" w:type="dxa"/>
          </w:tcPr>
          <w:p w14:paraId="6549894E" w14:textId="77777777" w:rsidR="00223E8C" w:rsidRDefault="00223E8C">
            <w:pPr>
              <w:pStyle w:val="TableParagraph"/>
              <w:spacing w:before="6"/>
              <w:rPr>
                <w:i/>
                <w:sz w:val="29"/>
              </w:rPr>
            </w:pPr>
          </w:p>
          <w:p w14:paraId="51255432" w14:textId="77777777" w:rsidR="00223E8C" w:rsidRDefault="00000000">
            <w:pPr>
              <w:pStyle w:val="TableParagraph"/>
              <w:spacing w:line="256" w:lineRule="exact"/>
              <w:ind w:left="91" w:right="91"/>
              <w:jc w:val="center"/>
              <w:rPr>
                <w:sz w:val="24"/>
              </w:rPr>
            </w:pPr>
            <w:r>
              <w:rPr>
                <w:sz w:val="24"/>
              </w:rPr>
              <w:t>-0.222</w:t>
            </w:r>
          </w:p>
        </w:tc>
        <w:tc>
          <w:tcPr>
            <w:tcW w:w="1964" w:type="dxa"/>
          </w:tcPr>
          <w:p w14:paraId="201BDA5B" w14:textId="77777777" w:rsidR="00223E8C" w:rsidRDefault="00223E8C">
            <w:pPr>
              <w:pStyle w:val="TableParagraph"/>
              <w:spacing w:before="6"/>
              <w:rPr>
                <w:i/>
                <w:sz w:val="29"/>
              </w:rPr>
            </w:pPr>
          </w:p>
          <w:p w14:paraId="6794A6E1" w14:textId="77777777" w:rsidR="00223E8C" w:rsidRDefault="00000000">
            <w:pPr>
              <w:pStyle w:val="TableParagraph"/>
              <w:spacing w:line="256" w:lineRule="exact"/>
              <w:ind w:left="91" w:right="93"/>
              <w:jc w:val="center"/>
              <w:rPr>
                <w:sz w:val="24"/>
              </w:rPr>
            </w:pPr>
            <w:r>
              <w:rPr>
                <w:sz w:val="24"/>
              </w:rPr>
              <w:t>0.384615</w:t>
            </w:r>
          </w:p>
        </w:tc>
        <w:tc>
          <w:tcPr>
            <w:tcW w:w="1423" w:type="dxa"/>
          </w:tcPr>
          <w:p w14:paraId="4CD2ED10" w14:textId="77777777" w:rsidR="00223E8C" w:rsidRDefault="00223E8C">
            <w:pPr>
              <w:pStyle w:val="TableParagraph"/>
              <w:spacing w:before="6"/>
              <w:rPr>
                <w:i/>
                <w:sz w:val="29"/>
              </w:rPr>
            </w:pPr>
          </w:p>
          <w:p w14:paraId="52DD6B28" w14:textId="77777777" w:rsidR="00223E8C" w:rsidRDefault="00000000">
            <w:pPr>
              <w:pStyle w:val="TableParagraph"/>
              <w:spacing w:line="256" w:lineRule="exact"/>
              <w:ind w:left="91" w:right="31"/>
              <w:jc w:val="center"/>
              <w:rPr>
                <w:sz w:val="24"/>
              </w:rPr>
            </w:pPr>
            <w:r>
              <w:rPr>
                <w:sz w:val="24"/>
              </w:rPr>
              <w:t>0.0811965</w:t>
            </w:r>
          </w:p>
        </w:tc>
      </w:tr>
    </w:tbl>
    <w:p w14:paraId="1D9B9DFE" w14:textId="77777777" w:rsidR="00223E8C" w:rsidRDefault="00223E8C">
      <w:pPr>
        <w:pStyle w:val="BodyText"/>
        <w:rPr>
          <w:i/>
          <w:sz w:val="20"/>
        </w:rPr>
      </w:pPr>
    </w:p>
    <w:p w14:paraId="7608D0F1" w14:textId="77777777" w:rsidR="00223E8C" w:rsidRDefault="00223E8C">
      <w:pPr>
        <w:pStyle w:val="BodyText"/>
        <w:rPr>
          <w:i/>
          <w:sz w:val="23"/>
        </w:rPr>
      </w:pPr>
    </w:p>
    <w:p w14:paraId="4B44AC2E" w14:textId="77777777" w:rsidR="00223E8C" w:rsidRDefault="00000000">
      <w:pPr>
        <w:pStyle w:val="BodyText"/>
        <w:spacing w:before="90" w:line="480" w:lineRule="auto"/>
        <w:ind w:left="100" w:right="138"/>
        <w:jc w:val="both"/>
      </w:pPr>
      <w:r>
        <w:t>The maximum NDVI values exhibit a general declining trend from 1990 (0.524745) to 2020</w:t>
      </w:r>
      <w:r>
        <w:rPr>
          <w:spacing w:val="1"/>
        </w:rPr>
        <w:t xml:space="preserve"> </w:t>
      </w:r>
      <w:r>
        <w:t>(0.375),</w:t>
      </w:r>
      <w:r>
        <w:rPr>
          <w:spacing w:val="1"/>
        </w:rPr>
        <w:t xml:space="preserve"> </w:t>
      </w:r>
      <w:r>
        <w:t>with</w:t>
      </w:r>
      <w:r>
        <w:rPr>
          <w:spacing w:val="1"/>
        </w:rPr>
        <w:t xml:space="preserve"> </w:t>
      </w:r>
      <w:r>
        <w:t>a</w:t>
      </w:r>
      <w:r>
        <w:rPr>
          <w:spacing w:val="1"/>
        </w:rPr>
        <w:t xml:space="preserve"> </w:t>
      </w:r>
      <w:r>
        <w:t>slight</w:t>
      </w:r>
      <w:r>
        <w:rPr>
          <w:spacing w:val="60"/>
        </w:rPr>
        <w:t xml:space="preserve"> </w:t>
      </w:r>
      <w:r>
        <w:t>increase in 2024 (0.384615). This decline suggests a reduction in the</w:t>
      </w:r>
      <w:r>
        <w:rPr>
          <w:spacing w:val="1"/>
        </w:rPr>
        <w:t xml:space="preserve"> </w:t>
      </w:r>
      <w:r>
        <w:t>highest levels of vegetation greenness observed over the years. The minimum NDVI values show</w:t>
      </w:r>
      <w:r>
        <w:rPr>
          <w:spacing w:val="-57"/>
        </w:rPr>
        <w:t xml:space="preserve"> </w:t>
      </w:r>
      <w:r>
        <w:t>significant</w:t>
      </w:r>
      <w:r>
        <w:rPr>
          <w:spacing w:val="1"/>
        </w:rPr>
        <w:t xml:space="preserve"> </w:t>
      </w:r>
      <w:r>
        <w:t>fluctuations,</w:t>
      </w:r>
      <w:r>
        <w:rPr>
          <w:spacing w:val="1"/>
        </w:rPr>
        <w:t xml:space="preserve"> </w:t>
      </w:r>
      <w:r>
        <w:t>with</w:t>
      </w:r>
      <w:r>
        <w:rPr>
          <w:spacing w:val="1"/>
        </w:rPr>
        <w:t xml:space="preserve"> </w:t>
      </w:r>
      <w:r>
        <w:t>the</w:t>
      </w:r>
      <w:r>
        <w:rPr>
          <w:spacing w:val="1"/>
        </w:rPr>
        <w:t xml:space="preserve"> </w:t>
      </w:r>
      <w:r>
        <w:t>lowest</w:t>
      </w:r>
      <w:r>
        <w:rPr>
          <w:spacing w:val="1"/>
        </w:rPr>
        <w:t xml:space="preserve"> </w:t>
      </w:r>
      <w:r>
        <w:t>value</w:t>
      </w:r>
      <w:r>
        <w:rPr>
          <w:spacing w:val="1"/>
        </w:rPr>
        <w:t xml:space="preserve"> </w:t>
      </w:r>
      <w:r>
        <w:t>recorded</w:t>
      </w:r>
      <w:r>
        <w:rPr>
          <w:spacing w:val="1"/>
        </w:rPr>
        <w:t xml:space="preserve"> </w:t>
      </w:r>
      <w:r>
        <w:t>in</w:t>
      </w:r>
      <w:r>
        <w:rPr>
          <w:spacing w:val="60"/>
        </w:rPr>
        <w:t xml:space="preserve"> </w:t>
      </w:r>
      <w:r>
        <w:t>2000 (-0.339806). The minimum</w:t>
      </w:r>
      <w:r>
        <w:rPr>
          <w:spacing w:val="1"/>
        </w:rPr>
        <w:t xml:space="preserve"> </w:t>
      </w:r>
      <w:r>
        <w:t>values</w:t>
      </w:r>
      <w:r>
        <w:rPr>
          <w:spacing w:val="1"/>
        </w:rPr>
        <w:t xml:space="preserve"> </w:t>
      </w:r>
      <w:r>
        <w:t>indicate</w:t>
      </w:r>
      <w:r>
        <w:rPr>
          <w:spacing w:val="1"/>
        </w:rPr>
        <w:t xml:space="preserve"> </w:t>
      </w:r>
      <w:r>
        <w:t>areas</w:t>
      </w:r>
      <w:r>
        <w:rPr>
          <w:spacing w:val="1"/>
        </w:rPr>
        <w:t xml:space="preserve"> </w:t>
      </w:r>
      <w:r>
        <w:t>with</w:t>
      </w:r>
      <w:r>
        <w:rPr>
          <w:spacing w:val="1"/>
        </w:rPr>
        <w:t xml:space="preserve"> </w:t>
      </w:r>
      <w:r>
        <w:t>little</w:t>
      </w:r>
      <w:r>
        <w:rPr>
          <w:spacing w:val="1"/>
        </w:rPr>
        <w:t xml:space="preserve"> </w:t>
      </w:r>
      <w:r>
        <w:t>to</w:t>
      </w:r>
      <w:r>
        <w:rPr>
          <w:spacing w:val="1"/>
        </w:rPr>
        <w:t xml:space="preserve"> </w:t>
      </w:r>
      <w:r>
        <w:t>no</w:t>
      </w:r>
      <w:r>
        <w:rPr>
          <w:spacing w:val="1"/>
        </w:rPr>
        <w:t xml:space="preserve"> </w:t>
      </w:r>
      <w:r>
        <w:t>vegetation,</w:t>
      </w:r>
      <w:r>
        <w:rPr>
          <w:spacing w:val="1"/>
        </w:rPr>
        <w:t xml:space="preserve"> </w:t>
      </w:r>
      <w:r>
        <w:t>due</w:t>
      </w:r>
      <w:r>
        <w:rPr>
          <w:spacing w:val="1"/>
        </w:rPr>
        <w:t xml:space="preserve"> </w:t>
      </w:r>
      <w:r>
        <w:t>to</w:t>
      </w:r>
      <w:r>
        <w:rPr>
          <w:spacing w:val="1"/>
        </w:rPr>
        <w:t xml:space="preserve"> </w:t>
      </w:r>
      <w:r>
        <w:t>extensive</w:t>
      </w:r>
      <w:r>
        <w:rPr>
          <w:spacing w:val="1"/>
        </w:rPr>
        <w:t xml:space="preserve"> </w:t>
      </w:r>
      <w:r>
        <w:t>mining</w:t>
      </w:r>
      <w:r>
        <w:rPr>
          <w:spacing w:val="1"/>
        </w:rPr>
        <w:t xml:space="preserve"> </w:t>
      </w:r>
      <w:r>
        <w:t>activities</w:t>
      </w:r>
      <w:r>
        <w:rPr>
          <w:spacing w:val="1"/>
        </w:rPr>
        <w:t xml:space="preserve"> </w:t>
      </w:r>
      <w:r>
        <w:t>and</w:t>
      </w:r>
      <w:r>
        <w:rPr>
          <w:spacing w:val="1"/>
        </w:rPr>
        <w:t xml:space="preserve"> </w:t>
      </w:r>
      <w:r>
        <w:t>environmental</w:t>
      </w:r>
      <w:r>
        <w:rPr>
          <w:spacing w:val="1"/>
        </w:rPr>
        <w:t xml:space="preserve"> </w:t>
      </w:r>
      <w:r>
        <w:t>degradation.</w:t>
      </w:r>
      <w:r>
        <w:rPr>
          <w:spacing w:val="1"/>
        </w:rPr>
        <w:t xml:space="preserve"> </w:t>
      </w:r>
      <w:r>
        <w:t>The</w:t>
      </w:r>
      <w:r>
        <w:rPr>
          <w:spacing w:val="1"/>
        </w:rPr>
        <w:t xml:space="preserve"> </w:t>
      </w:r>
      <w:r>
        <w:t>mean</w:t>
      </w:r>
      <w:r>
        <w:rPr>
          <w:spacing w:val="1"/>
        </w:rPr>
        <w:t xml:space="preserve"> </w:t>
      </w:r>
      <w:r>
        <w:t>NDVI</w:t>
      </w:r>
      <w:r>
        <w:rPr>
          <w:spacing w:val="1"/>
        </w:rPr>
        <w:t xml:space="preserve"> </w:t>
      </w:r>
      <w:r>
        <w:t>values</w:t>
      </w:r>
      <w:r>
        <w:rPr>
          <w:spacing w:val="1"/>
        </w:rPr>
        <w:t xml:space="preserve"> </w:t>
      </w:r>
      <w:r>
        <w:t>decreased</w:t>
      </w:r>
      <w:r>
        <w:rPr>
          <w:spacing w:val="1"/>
        </w:rPr>
        <w:t xml:space="preserve"> </w:t>
      </w:r>
      <w:r>
        <w:t>substantially</w:t>
      </w:r>
      <w:r>
        <w:rPr>
          <w:spacing w:val="1"/>
        </w:rPr>
        <w:t xml:space="preserve"> </w:t>
      </w:r>
      <w:r>
        <w:t>from</w:t>
      </w:r>
      <w:r>
        <w:rPr>
          <w:spacing w:val="1"/>
        </w:rPr>
        <w:t xml:space="preserve"> </w:t>
      </w:r>
      <w:r>
        <w:t>1990</w:t>
      </w:r>
      <w:r>
        <w:rPr>
          <w:spacing w:val="1"/>
        </w:rPr>
        <w:t xml:space="preserve"> </w:t>
      </w:r>
      <w:r>
        <w:t>(0.2576804) to 2000 (0.0710295), reflecting a significant reduction in average vegetation health.</w:t>
      </w:r>
      <w:r>
        <w:rPr>
          <w:spacing w:val="1"/>
        </w:rPr>
        <w:t xml:space="preserve"> </w:t>
      </w:r>
      <w:r>
        <w:t>While there was a partial recovery in 2010 (0.14681915), the mean values remained relatively</w:t>
      </w:r>
      <w:r>
        <w:rPr>
          <w:spacing w:val="1"/>
        </w:rPr>
        <w:t xml:space="preserve"> </w:t>
      </w:r>
      <w:r>
        <w:t>low in subsequent years.</w:t>
      </w:r>
    </w:p>
    <w:p w14:paraId="248E39A7" w14:textId="77777777" w:rsidR="00223E8C" w:rsidRDefault="00223E8C">
      <w:pPr>
        <w:spacing w:line="480" w:lineRule="auto"/>
        <w:jc w:val="both"/>
        <w:sectPr w:rsidR="00223E8C">
          <w:pgSz w:w="12240" w:h="15840"/>
          <w:pgMar w:top="1380" w:right="1300" w:bottom="1000" w:left="1340" w:header="0" w:footer="804" w:gutter="0"/>
          <w:cols w:space="720"/>
        </w:sectPr>
      </w:pPr>
    </w:p>
    <w:p w14:paraId="7F468671" w14:textId="77777777" w:rsidR="00223E8C" w:rsidRDefault="00000000">
      <w:pPr>
        <w:pStyle w:val="Heading2"/>
      </w:pPr>
      <w:r>
        <w:lastRenderedPageBreak/>
        <w:t>Trend</w:t>
      </w:r>
      <w:r>
        <w:rPr>
          <w:spacing w:val="-10"/>
        </w:rPr>
        <w:t xml:space="preserve"> </w:t>
      </w:r>
      <w:r>
        <w:t>analysis</w:t>
      </w:r>
    </w:p>
    <w:p w14:paraId="4FA0A7E4" w14:textId="77777777" w:rsidR="00223E8C" w:rsidRDefault="00223E8C">
      <w:pPr>
        <w:pStyle w:val="BodyText"/>
        <w:rPr>
          <w:b/>
          <w:sz w:val="26"/>
        </w:rPr>
      </w:pPr>
    </w:p>
    <w:p w14:paraId="6155C5FE" w14:textId="77777777" w:rsidR="00223E8C" w:rsidRDefault="00000000">
      <w:pPr>
        <w:spacing w:before="217"/>
        <w:ind w:left="100"/>
        <w:rPr>
          <w:b/>
          <w:sz w:val="24"/>
        </w:rPr>
      </w:pPr>
      <w:r>
        <w:rPr>
          <w:b/>
          <w:sz w:val="24"/>
        </w:rPr>
        <w:t>NDVI Analysis for 1990</w:t>
      </w:r>
    </w:p>
    <w:p w14:paraId="32999E41" w14:textId="77777777" w:rsidR="00223E8C" w:rsidRDefault="00223E8C">
      <w:pPr>
        <w:pStyle w:val="BodyText"/>
        <w:rPr>
          <w:b/>
          <w:sz w:val="26"/>
        </w:rPr>
      </w:pPr>
    </w:p>
    <w:p w14:paraId="4A58FC8E" w14:textId="77777777" w:rsidR="00223E8C" w:rsidRDefault="00000000">
      <w:pPr>
        <w:spacing w:before="217"/>
        <w:ind w:left="100"/>
        <w:rPr>
          <w:i/>
          <w:sz w:val="24"/>
        </w:rPr>
      </w:pPr>
      <w:r>
        <w:rPr>
          <w:i/>
          <w:sz w:val="24"/>
        </w:rPr>
        <w:t>Fig. 2 Images for 1990</w:t>
      </w:r>
    </w:p>
    <w:p w14:paraId="52DD9E5D" w14:textId="77777777" w:rsidR="00223E8C" w:rsidRDefault="00223E8C">
      <w:pPr>
        <w:pStyle w:val="BodyText"/>
        <w:rPr>
          <w:i/>
          <w:sz w:val="20"/>
        </w:rPr>
      </w:pPr>
    </w:p>
    <w:p w14:paraId="1B113A44" w14:textId="77777777" w:rsidR="00223E8C" w:rsidRDefault="00223E8C">
      <w:pPr>
        <w:pStyle w:val="BodyText"/>
        <w:rPr>
          <w:i/>
          <w:sz w:val="20"/>
        </w:rPr>
      </w:pPr>
    </w:p>
    <w:p w14:paraId="7EF50C6E" w14:textId="77777777" w:rsidR="00223E8C" w:rsidRDefault="00223E8C">
      <w:pPr>
        <w:pStyle w:val="BodyText"/>
        <w:rPr>
          <w:i/>
          <w:sz w:val="20"/>
        </w:rPr>
      </w:pPr>
    </w:p>
    <w:p w14:paraId="19EACDFA" w14:textId="77777777" w:rsidR="00223E8C" w:rsidRDefault="00223E8C">
      <w:pPr>
        <w:pStyle w:val="BodyText"/>
        <w:rPr>
          <w:i/>
          <w:sz w:val="20"/>
        </w:rPr>
      </w:pPr>
    </w:p>
    <w:p w14:paraId="5FECA697" w14:textId="77777777" w:rsidR="00223E8C" w:rsidRDefault="00223E8C">
      <w:pPr>
        <w:pStyle w:val="BodyText"/>
        <w:rPr>
          <w:i/>
          <w:sz w:val="20"/>
        </w:rPr>
      </w:pPr>
    </w:p>
    <w:p w14:paraId="14BFE698" w14:textId="77777777" w:rsidR="00223E8C" w:rsidRDefault="00223E8C">
      <w:pPr>
        <w:pStyle w:val="BodyText"/>
        <w:rPr>
          <w:i/>
          <w:sz w:val="20"/>
        </w:rPr>
      </w:pPr>
    </w:p>
    <w:p w14:paraId="20FE12BD" w14:textId="77777777" w:rsidR="00223E8C" w:rsidRDefault="00223E8C">
      <w:pPr>
        <w:pStyle w:val="BodyText"/>
        <w:rPr>
          <w:i/>
          <w:sz w:val="20"/>
        </w:rPr>
      </w:pPr>
    </w:p>
    <w:p w14:paraId="4E219501" w14:textId="77777777" w:rsidR="00223E8C" w:rsidRDefault="00223E8C">
      <w:pPr>
        <w:pStyle w:val="BodyText"/>
        <w:rPr>
          <w:i/>
          <w:sz w:val="20"/>
        </w:rPr>
      </w:pPr>
    </w:p>
    <w:p w14:paraId="795E37FA" w14:textId="77777777" w:rsidR="00223E8C" w:rsidRDefault="00223E8C">
      <w:pPr>
        <w:pStyle w:val="BodyText"/>
        <w:rPr>
          <w:i/>
          <w:sz w:val="20"/>
        </w:rPr>
      </w:pPr>
    </w:p>
    <w:p w14:paraId="2E967240" w14:textId="77777777" w:rsidR="00223E8C" w:rsidRDefault="00223E8C">
      <w:pPr>
        <w:pStyle w:val="BodyText"/>
        <w:rPr>
          <w:i/>
          <w:sz w:val="20"/>
        </w:rPr>
      </w:pPr>
    </w:p>
    <w:p w14:paraId="5CA9C19D" w14:textId="77777777" w:rsidR="00223E8C" w:rsidRDefault="00223E8C">
      <w:pPr>
        <w:pStyle w:val="BodyText"/>
        <w:rPr>
          <w:i/>
          <w:sz w:val="20"/>
        </w:rPr>
      </w:pPr>
    </w:p>
    <w:p w14:paraId="77757EFF" w14:textId="77777777" w:rsidR="00223E8C" w:rsidRDefault="00223E8C">
      <w:pPr>
        <w:pStyle w:val="BodyText"/>
        <w:rPr>
          <w:i/>
          <w:sz w:val="20"/>
        </w:rPr>
      </w:pPr>
    </w:p>
    <w:p w14:paraId="7195EA1B" w14:textId="77777777" w:rsidR="00223E8C" w:rsidRDefault="00223E8C">
      <w:pPr>
        <w:pStyle w:val="BodyText"/>
        <w:rPr>
          <w:i/>
          <w:sz w:val="20"/>
        </w:rPr>
      </w:pPr>
    </w:p>
    <w:p w14:paraId="1F42F630" w14:textId="77777777" w:rsidR="00223E8C" w:rsidRDefault="00223E8C">
      <w:pPr>
        <w:pStyle w:val="BodyText"/>
        <w:rPr>
          <w:i/>
          <w:sz w:val="20"/>
        </w:rPr>
      </w:pPr>
    </w:p>
    <w:p w14:paraId="66EB43F6" w14:textId="77777777" w:rsidR="00223E8C" w:rsidRDefault="00223E8C">
      <w:pPr>
        <w:pStyle w:val="BodyText"/>
        <w:rPr>
          <w:i/>
          <w:sz w:val="20"/>
        </w:rPr>
      </w:pPr>
    </w:p>
    <w:p w14:paraId="6A9B1ADE" w14:textId="77777777" w:rsidR="00223E8C" w:rsidRDefault="00223E8C">
      <w:pPr>
        <w:pStyle w:val="BodyText"/>
        <w:spacing w:before="9"/>
        <w:rPr>
          <w:i/>
          <w:sz w:val="22"/>
        </w:rPr>
      </w:pPr>
    </w:p>
    <w:p w14:paraId="5B62A311" w14:textId="77777777" w:rsidR="00223E8C" w:rsidRDefault="00000000">
      <w:pPr>
        <w:pStyle w:val="BodyText"/>
        <w:tabs>
          <w:tab w:val="left" w:pos="9159"/>
        </w:tabs>
        <w:spacing w:before="90"/>
        <w:ind w:left="5095"/>
      </w:pPr>
      <w:r>
        <w:rPr>
          <w:noProof/>
        </w:rPr>
        <w:drawing>
          <wp:anchor distT="0" distB="0" distL="0" distR="0" simplePos="0" relativeHeight="487356928" behindDoc="1" locked="0" layoutInCell="1" allowOverlap="1" wp14:anchorId="0010C364" wp14:editId="1E247340">
            <wp:simplePos x="0" y="0"/>
            <wp:positionH relativeFrom="page">
              <wp:posOffset>4132453</wp:posOffset>
            </wp:positionH>
            <wp:positionV relativeFrom="paragraph">
              <wp:posOffset>-2160835</wp:posOffset>
            </wp:positionV>
            <wp:extent cx="2430272" cy="2409951"/>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2430272" cy="2409951"/>
                    </a:xfrm>
                    <a:prstGeom prst="rect">
                      <a:avLst/>
                    </a:prstGeom>
                  </pic:spPr>
                </pic:pic>
              </a:graphicData>
            </a:graphic>
          </wp:anchor>
        </w:drawing>
      </w:r>
      <w:r>
        <w:rPr>
          <w:noProof/>
        </w:rPr>
        <w:drawing>
          <wp:anchor distT="0" distB="0" distL="0" distR="0" simplePos="0" relativeHeight="15729664" behindDoc="0" locked="0" layoutInCell="1" allowOverlap="1" wp14:anchorId="77662043" wp14:editId="23F092CB">
            <wp:simplePos x="0" y="0"/>
            <wp:positionH relativeFrom="page">
              <wp:posOffset>985474</wp:posOffset>
            </wp:positionH>
            <wp:positionV relativeFrom="paragraph">
              <wp:posOffset>-1972217</wp:posOffset>
            </wp:positionV>
            <wp:extent cx="3032735" cy="2153334"/>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3032735" cy="2153334"/>
                    </a:xfrm>
                    <a:prstGeom prst="rect">
                      <a:avLst/>
                    </a:prstGeom>
                  </pic:spPr>
                </pic:pic>
              </a:graphicData>
            </a:graphic>
          </wp:anchor>
        </w:drawing>
      </w:r>
      <w:r>
        <w:t>(a)</w:t>
      </w:r>
      <w:r>
        <w:tab/>
        <w:t>(b)</w:t>
      </w:r>
    </w:p>
    <w:p w14:paraId="7216BD02" w14:textId="77777777" w:rsidR="00223E8C" w:rsidRDefault="00223E8C">
      <w:pPr>
        <w:pStyle w:val="BodyText"/>
        <w:rPr>
          <w:sz w:val="20"/>
        </w:rPr>
      </w:pPr>
    </w:p>
    <w:p w14:paraId="6D5DDCE6" w14:textId="77777777" w:rsidR="00223E8C" w:rsidRDefault="00223E8C">
      <w:pPr>
        <w:pStyle w:val="BodyText"/>
        <w:rPr>
          <w:sz w:val="17"/>
        </w:rPr>
      </w:pPr>
    </w:p>
    <w:p w14:paraId="44F06867" w14:textId="77777777" w:rsidR="00223E8C" w:rsidRDefault="00000000">
      <w:pPr>
        <w:pStyle w:val="BodyText"/>
        <w:spacing w:before="90" w:line="480" w:lineRule="auto"/>
        <w:ind w:left="100" w:right="138"/>
        <w:jc w:val="both"/>
      </w:pPr>
      <w:r>
        <w:t>According to Obuasi's 1990 NDVI analysis, the area is primarily covered in lush vegetation. The</w:t>
      </w:r>
      <w:r>
        <w:rPr>
          <w:spacing w:val="1"/>
        </w:rPr>
        <w:t xml:space="preserve"> </w:t>
      </w:r>
      <w:r>
        <w:t>histogram shows NDVI values between 0.0 and 0.5, with a notable peak at 0.4, signifying a high</w:t>
      </w:r>
      <w:r>
        <w:rPr>
          <w:spacing w:val="1"/>
        </w:rPr>
        <w:t xml:space="preserve"> </w:t>
      </w:r>
      <w:r>
        <w:t>density of vegetation. This is supported by the accompanying map, which shows large stretches</w:t>
      </w:r>
      <w:r>
        <w:rPr>
          <w:spacing w:val="1"/>
        </w:rPr>
        <w:t xml:space="preserve"> </w:t>
      </w:r>
      <w:r>
        <w:t>of</w:t>
      </w:r>
      <w:r>
        <w:rPr>
          <w:spacing w:val="1"/>
        </w:rPr>
        <w:t xml:space="preserve"> </w:t>
      </w:r>
      <w:r>
        <w:t>high</w:t>
      </w:r>
      <w:r>
        <w:rPr>
          <w:spacing w:val="1"/>
        </w:rPr>
        <w:t xml:space="preserve"> </w:t>
      </w:r>
      <w:r>
        <w:t>vegetation</w:t>
      </w:r>
      <w:r>
        <w:rPr>
          <w:spacing w:val="1"/>
        </w:rPr>
        <w:t xml:space="preserve"> </w:t>
      </w:r>
      <w:r>
        <w:t>(NDVI</w:t>
      </w:r>
      <w:r>
        <w:rPr>
          <w:spacing w:val="1"/>
        </w:rPr>
        <w:t xml:space="preserve"> </w:t>
      </w:r>
      <w:r>
        <w:t>&gt;</w:t>
      </w:r>
      <w:r>
        <w:rPr>
          <w:spacing w:val="1"/>
        </w:rPr>
        <w:t xml:space="preserve"> </w:t>
      </w:r>
      <w:r>
        <w:t>0.3),</w:t>
      </w:r>
      <w:r>
        <w:rPr>
          <w:spacing w:val="1"/>
        </w:rPr>
        <w:t xml:space="preserve"> </w:t>
      </w:r>
      <w:r>
        <w:t>mostly</w:t>
      </w:r>
      <w:r>
        <w:rPr>
          <w:spacing w:val="1"/>
        </w:rPr>
        <w:t xml:space="preserve"> </w:t>
      </w:r>
      <w:r>
        <w:t>in</w:t>
      </w:r>
      <w:r>
        <w:rPr>
          <w:spacing w:val="1"/>
        </w:rPr>
        <w:t xml:space="preserve"> </w:t>
      </w:r>
      <w:r>
        <w:t>the</w:t>
      </w:r>
      <w:r>
        <w:rPr>
          <w:spacing w:val="1"/>
        </w:rPr>
        <w:t xml:space="preserve"> </w:t>
      </w:r>
      <w:r>
        <w:t>central</w:t>
      </w:r>
      <w:r>
        <w:rPr>
          <w:spacing w:val="1"/>
        </w:rPr>
        <w:t xml:space="preserve"> </w:t>
      </w:r>
      <w:r>
        <w:t>and</w:t>
      </w:r>
      <w:r>
        <w:rPr>
          <w:spacing w:val="1"/>
        </w:rPr>
        <w:t xml:space="preserve"> </w:t>
      </w:r>
      <w:r>
        <w:t>northern</w:t>
      </w:r>
      <w:r>
        <w:rPr>
          <w:spacing w:val="1"/>
        </w:rPr>
        <w:t xml:space="preserve"> </w:t>
      </w:r>
      <w:r>
        <w:t>regions. Additionally</w:t>
      </w:r>
      <w:r>
        <w:rPr>
          <w:spacing w:val="-57"/>
        </w:rPr>
        <w:t xml:space="preserve"> </w:t>
      </w:r>
      <w:r>
        <w:t>common is moderate vegetation (NDVI 0.1 to 0.3), as indicated by the map's green regions and</w:t>
      </w:r>
      <w:r>
        <w:rPr>
          <w:spacing w:val="1"/>
        </w:rPr>
        <w:t xml:space="preserve"> </w:t>
      </w:r>
      <w:r>
        <w:t>the histogram's progressive increase in frequency. As expected from the lower frequencies for</w:t>
      </w:r>
      <w:r>
        <w:rPr>
          <w:spacing w:val="1"/>
        </w:rPr>
        <w:t xml:space="preserve"> </w:t>
      </w:r>
      <w:r>
        <w:t>these values in the histogram, low vegetation regions (NDVI &lt; 0.1) are sparse and scattered.</w:t>
      </w:r>
      <w:r>
        <w:rPr>
          <w:spacing w:val="1"/>
        </w:rPr>
        <w:t xml:space="preserve"> </w:t>
      </w:r>
      <w:r>
        <w:t>Obuasi has a robust vegetation cover overall, according to data from 1990, with the bulk of the</w:t>
      </w:r>
      <w:r>
        <w:rPr>
          <w:spacing w:val="1"/>
        </w:rPr>
        <w:t xml:space="preserve"> </w:t>
      </w:r>
      <w:r>
        <w:t>region falling into the moderate to high vegetation classifications.</w:t>
      </w:r>
      <w:r>
        <w:rPr>
          <w:spacing w:val="1"/>
        </w:rPr>
        <w:t xml:space="preserve"> </w:t>
      </w:r>
      <w:r>
        <w:t>This suggests a healthy and</w:t>
      </w:r>
      <w:r>
        <w:rPr>
          <w:spacing w:val="1"/>
        </w:rPr>
        <w:t xml:space="preserve"> </w:t>
      </w:r>
      <w:r>
        <w:t>relatively undisturbed environment during this period.</w:t>
      </w:r>
    </w:p>
    <w:p w14:paraId="55E21334" w14:textId="77777777" w:rsidR="00223E8C" w:rsidRDefault="00223E8C">
      <w:pPr>
        <w:spacing w:line="480" w:lineRule="auto"/>
        <w:jc w:val="both"/>
        <w:sectPr w:rsidR="00223E8C">
          <w:pgSz w:w="12240" w:h="15840"/>
          <w:pgMar w:top="1380" w:right="1300" w:bottom="1000" w:left="1340" w:header="0" w:footer="804" w:gutter="0"/>
          <w:cols w:space="720"/>
        </w:sectPr>
      </w:pPr>
    </w:p>
    <w:p w14:paraId="5D079F49" w14:textId="77777777" w:rsidR="00223E8C" w:rsidRDefault="00000000">
      <w:pPr>
        <w:pStyle w:val="Heading2"/>
      </w:pPr>
      <w:r>
        <w:lastRenderedPageBreak/>
        <w:t>NDVI Analysis for 2000</w:t>
      </w:r>
    </w:p>
    <w:p w14:paraId="087694DB" w14:textId="77777777" w:rsidR="00223E8C" w:rsidRDefault="00223E8C">
      <w:pPr>
        <w:pStyle w:val="BodyText"/>
        <w:rPr>
          <w:b/>
          <w:sz w:val="26"/>
        </w:rPr>
      </w:pPr>
    </w:p>
    <w:p w14:paraId="48394729" w14:textId="77777777" w:rsidR="00223E8C" w:rsidRDefault="00000000">
      <w:pPr>
        <w:spacing w:before="217"/>
        <w:ind w:left="100"/>
        <w:rPr>
          <w:i/>
          <w:sz w:val="24"/>
        </w:rPr>
      </w:pPr>
      <w:r>
        <w:rPr>
          <w:i/>
          <w:sz w:val="24"/>
        </w:rPr>
        <w:t>Fig. 3 Images for 2000</w:t>
      </w:r>
    </w:p>
    <w:p w14:paraId="586BD32C" w14:textId="77777777" w:rsidR="00223E8C" w:rsidRDefault="00223E8C">
      <w:pPr>
        <w:pStyle w:val="BodyText"/>
        <w:rPr>
          <w:i/>
          <w:sz w:val="20"/>
        </w:rPr>
      </w:pPr>
    </w:p>
    <w:p w14:paraId="3B9132AD" w14:textId="77777777" w:rsidR="00223E8C" w:rsidRDefault="00223E8C">
      <w:pPr>
        <w:pStyle w:val="BodyText"/>
        <w:rPr>
          <w:i/>
          <w:sz w:val="20"/>
        </w:rPr>
      </w:pPr>
    </w:p>
    <w:p w14:paraId="4C51DBB5" w14:textId="77777777" w:rsidR="00223E8C" w:rsidRDefault="00223E8C">
      <w:pPr>
        <w:pStyle w:val="BodyText"/>
        <w:rPr>
          <w:i/>
          <w:sz w:val="20"/>
        </w:rPr>
      </w:pPr>
    </w:p>
    <w:p w14:paraId="7B6685D1" w14:textId="77777777" w:rsidR="00223E8C" w:rsidRDefault="00223E8C">
      <w:pPr>
        <w:pStyle w:val="BodyText"/>
        <w:rPr>
          <w:i/>
          <w:sz w:val="20"/>
        </w:rPr>
      </w:pPr>
    </w:p>
    <w:p w14:paraId="2728A5AD" w14:textId="77777777" w:rsidR="00223E8C" w:rsidRDefault="00223E8C">
      <w:pPr>
        <w:pStyle w:val="BodyText"/>
        <w:rPr>
          <w:i/>
          <w:sz w:val="20"/>
        </w:rPr>
      </w:pPr>
    </w:p>
    <w:p w14:paraId="5D68B656" w14:textId="77777777" w:rsidR="00223E8C" w:rsidRDefault="00223E8C">
      <w:pPr>
        <w:pStyle w:val="BodyText"/>
        <w:rPr>
          <w:i/>
          <w:sz w:val="20"/>
        </w:rPr>
      </w:pPr>
    </w:p>
    <w:p w14:paraId="1527EEF1" w14:textId="77777777" w:rsidR="00223E8C" w:rsidRDefault="00223E8C">
      <w:pPr>
        <w:pStyle w:val="BodyText"/>
        <w:rPr>
          <w:i/>
          <w:sz w:val="20"/>
        </w:rPr>
      </w:pPr>
    </w:p>
    <w:p w14:paraId="38064408" w14:textId="77777777" w:rsidR="00223E8C" w:rsidRDefault="00223E8C">
      <w:pPr>
        <w:pStyle w:val="BodyText"/>
        <w:rPr>
          <w:i/>
          <w:sz w:val="20"/>
        </w:rPr>
      </w:pPr>
    </w:p>
    <w:p w14:paraId="636CAE63" w14:textId="77777777" w:rsidR="00223E8C" w:rsidRDefault="00223E8C">
      <w:pPr>
        <w:pStyle w:val="BodyText"/>
        <w:rPr>
          <w:i/>
          <w:sz w:val="20"/>
        </w:rPr>
      </w:pPr>
    </w:p>
    <w:p w14:paraId="5B6AF0BE" w14:textId="77777777" w:rsidR="00223E8C" w:rsidRDefault="00223E8C">
      <w:pPr>
        <w:pStyle w:val="BodyText"/>
        <w:rPr>
          <w:i/>
          <w:sz w:val="20"/>
        </w:rPr>
      </w:pPr>
    </w:p>
    <w:p w14:paraId="30A28EA1" w14:textId="77777777" w:rsidR="00223E8C" w:rsidRDefault="00223E8C">
      <w:pPr>
        <w:pStyle w:val="BodyText"/>
        <w:rPr>
          <w:i/>
          <w:sz w:val="20"/>
        </w:rPr>
      </w:pPr>
    </w:p>
    <w:p w14:paraId="674675A7" w14:textId="77777777" w:rsidR="00223E8C" w:rsidRDefault="00223E8C">
      <w:pPr>
        <w:pStyle w:val="BodyText"/>
        <w:rPr>
          <w:i/>
          <w:sz w:val="20"/>
        </w:rPr>
      </w:pPr>
    </w:p>
    <w:p w14:paraId="151C663B" w14:textId="77777777" w:rsidR="00223E8C" w:rsidRDefault="00223E8C">
      <w:pPr>
        <w:pStyle w:val="BodyText"/>
        <w:rPr>
          <w:i/>
          <w:sz w:val="20"/>
        </w:rPr>
      </w:pPr>
    </w:p>
    <w:p w14:paraId="7D8AA1BF" w14:textId="77777777" w:rsidR="00223E8C" w:rsidRDefault="00223E8C">
      <w:pPr>
        <w:pStyle w:val="BodyText"/>
        <w:rPr>
          <w:i/>
          <w:sz w:val="20"/>
        </w:rPr>
      </w:pPr>
    </w:p>
    <w:p w14:paraId="4A6C250E" w14:textId="77777777" w:rsidR="00223E8C" w:rsidRDefault="00223E8C">
      <w:pPr>
        <w:pStyle w:val="BodyText"/>
        <w:rPr>
          <w:i/>
          <w:sz w:val="20"/>
        </w:rPr>
      </w:pPr>
    </w:p>
    <w:p w14:paraId="31D66FEA" w14:textId="77777777" w:rsidR="00223E8C" w:rsidRDefault="00000000">
      <w:pPr>
        <w:pStyle w:val="BodyText"/>
        <w:spacing w:before="232"/>
        <w:ind w:left="1008" w:right="482"/>
        <w:jc w:val="center"/>
      </w:pPr>
      <w:r>
        <w:pict w14:anchorId="5F3C3150">
          <v:group id="_x0000_s2054" style="position:absolute;left:0;text-align:left;margin-left:335.15pt;margin-top:-161.55pt;width:186.9pt;height:186.95pt;z-index:15730176;mso-position-horizontal-relative:page" coordorigin="6703,-3231" coordsize="3738,37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left:6702;top:-3231;width:3738;height:3707">
              <v:imagedata r:id="rId11" o:title=""/>
            </v:shape>
            <v:shapetype id="_x0000_t202" coordsize="21600,21600" o:spt="202" path="m,l,21600r21600,l21600,xe">
              <v:stroke joinstyle="miter"/>
              <v:path gradientshapeok="t" o:connecttype="rect"/>
            </v:shapetype>
            <v:shape id="_x0000_s2055" type="#_x0000_t202" style="position:absolute;left:10080;top:242;width:300;height:266" filled="f" stroked="f">
              <v:textbox inset="0,0,0,0">
                <w:txbxContent>
                  <w:p w14:paraId="795BC438" w14:textId="77777777" w:rsidR="00223E8C" w:rsidRDefault="00000000">
                    <w:pPr>
                      <w:spacing w:line="266" w:lineRule="exact"/>
                      <w:rPr>
                        <w:sz w:val="24"/>
                      </w:rPr>
                    </w:pPr>
                    <w:r>
                      <w:rPr>
                        <w:sz w:val="24"/>
                      </w:rPr>
                      <w:t>(b)</w:t>
                    </w:r>
                  </w:p>
                </w:txbxContent>
              </v:textbox>
            </v:shape>
            <w10:wrap anchorx="page"/>
          </v:group>
        </w:pict>
      </w:r>
      <w:r>
        <w:rPr>
          <w:noProof/>
        </w:rPr>
        <w:drawing>
          <wp:anchor distT="0" distB="0" distL="0" distR="0" simplePos="0" relativeHeight="15730688" behindDoc="0" locked="0" layoutInCell="1" allowOverlap="1" wp14:anchorId="233CB36A" wp14:editId="6ABBABD1">
            <wp:simplePos x="0" y="0"/>
            <wp:positionH relativeFrom="page">
              <wp:posOffset>983735</wp:posOffset>
            </wp:positionH>
            <wp:positionV relativeFrom="paragraph">
              <wp:posOffset>-1807163</wp:posOffset>
            </wp:positionV>
            <wp:extent cx="2931337" cy="2079081"/>
            <wp:effectExtent l="0" t="0" r="0" b="0"/>
            <wp:wrapNone/>
            <wp:docPr id="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jpeg"/>
                    <pic:cNvPicPr/>
                  </pic:nvPicPr>
                  <pic:blipFill>
                    <a:blip r:embed="rId12" cstate="print"/>
                    <a:stretch>
                      <a:fillRect/>
                    </a:stretch>
                  </pic:blipFill>
                  <pic:spPr>
                    <a:xfrm>
                      <a:off x="0" y="0"/>
                      <a:ext cx="2931337" cy="2079081"/>
                    </a:xfrm>
                    <a:prstGeom prst="rect">
                      <a:avLst/>
                    </a:prstGeom>
                  </pic:spPr>
                </pic:pic>
              </a:graphicData>
            </a:graphic>
          </wp:anchor>
        </w:drawing>
      </w:r>
      <w:r>
        <w:t>(a)</w:t>
      </w:r>
    </w:p>
    <w:p w14:paraId="0A903815" w14:textId="77777777" w:rsidR="00223E8C" w:rsidRDefault="00223E8C">
      <w:pPr>
        <w:pStyle w:val="BodyText"/>
        <w:spacing w:before="2"/>
        <w:rPr>
          <w:sz w:val="16"/>
        </w:rPr>
      </w:pPr>
    </w:p>
    <w:p w14:paraId="59C42976" w14:textId="77777777" w:rsidR="00223E8C" w:rsidRDefault="00000000">
      <w:pPr>
        <w:pStyle w:val="BodyText"/>
        <w:spacing w:before="90" w:line="480" w:lineRule="auto"/>
        <w:ind w:left="100" w:right="140"/>
        <w:jc w:val="both"/>
      </w:pPr>
      <w:r>
        <w:t>The</w:t>
      </w:r>
      <w:r>
        <w:rPr>
          <w:spacing w:val="1"/>
        </w:rPr>
        <w:t xml:space="preserve"> </w:t>
      </w:r>
      <w:r>
        <w:t>NDVI</w:t>
      </w:r>
      <w:r>
        <w:rPr>
          <w:spacing w:val="1"/>
        </w:rPr>
        <w:t xml:space="preserve"> </w:t>
      </w:r>
      <w:r>
        <w:t>study</w:t>
      </w:r>
      <w:r>
        <w:rPr>
          <w:spacing w:val="1"/>
        </w:rPr>
        <w:t xml:space="preserve"> </w:t>
      </w:r>
      <w:r>
        <w:t>for</w:t>
      </w:r>
      <w:r>
        <w:rPr>
          <w:spacing w:val="1"/>
        </w:rPr>
        <w:t xml:space="preserve"> </w:t>
      </w:r>
      <w:r>
        <w:t>Obuasi</w:t>
      </w:r>
      <w:r>
        <w:rPr>
          <w:spacing w:val="1"/>
        </w:rPr>
        <w:t xml:space="preserve"> </w:t>
      </w:r>
      <w:r>
        <w:t>in</w:t>
      </w:r>
      <w:r>
        <w:rPr>
          <w:spacing w:val="1"/>
        </w:rPr>
        <w:t xml:space="preserve"> </w:t>
      </w:r>
      <w:r>
        <w:t>2000</w:t>
      </w:r>
      <w:r>
        <w:rPr>
          <w:spacing w:val="1"/>
        </w:rPr>
        <w:t xml:space="preserve"> </w:t>
      </w:r>
      <w:r>
        <w:t>shows</w:t>
      </w:r>
      <w:r>
        <w:rPr>
          <w:spacing w:val="1"/>
        </w:rPr>
        <w:t xml:space="preserve"> </w:t>
      </w:r>
      <w:r>
        <w:t>significant</w:t>
      </w:r>
      <w:r>
        <w:rPr>
          <w:spacing w:val="1"/>
        </w:rPr>
        <w:t xml:space="preserve"> </w:t>
      </w:r>
      <w:r>
        <w:t>alterations in the plant cover when</w:t>
      </w:r>
      <w:r>
        <w:rPr>
          <w:spacing w:val="1"/>
        </w:rPr>
        <w:t xml:space="preserve"> </w:t>
      </w:r>
      <w:r>
        <w:t>compared to 1990. The histogram shows an NDVI value range largely from -0.2 to 0.4, with a</w:t>
      </w:r>
      <w:r>
        <w:rPr>
          <w:spacing w:val="1"/>
        </w:rPr>
        <w:t xml:space="preserve"> </w:t>
      </w:r>
      <w:r>
        <w:t>noticeable peak at 0.3. This points to a minor movement in the direction of moderate vegetation</w:t>
      </w:r>
      <w:r>
        <w:rPr>
          <w:spacing w:val="1"/>
        </w:rPr>
        <w:t xml:space="preserve"> </w:t>
      </w:r>
      <w:r>
        <w:t>levels. This distribution is further illustrated by the following map. While they still exist, high</w:t>
      </w:r>
      <w:r>
        <w:rPr>
          <w:spacing w:val="1"/>
        </w:rPr>
        <w:t xml:space="preserve"> </w:t>
      </w:r>
      <w:r>
        <w:t>vegetation</w:t>
      </w:r>
      <w:r>
        <w:rPr>
          <w:spacing w:val="1"/>
        </w:rPr>
        <w:t xml:space="preserve"> </w:t>
      </w:r>
      <w:r>
        <w:t>regions</w:t>
      </w:r>
      <w:r>
        <w:rPr>
          <w:spacing w:val="1"/>
        </w:rPr>
        <w:t xml:space="preserve"> </w:t>
      </w:r>
      <w:r>
        <w:t>(NDVI</w:t>
      </w:r>
      <w:r>
        <w:rPr>
          <w:spacing w:val="1"/>
        </w:rPr>
        <w:t xml:space="preserve"> </w:t>
      </w:r>
      <w:r>
        <w:t>&gt;</w:t>
      </w:r>
      <w:r>
        <w:rPr>
          <w:spacing w:val="1"/>
        </w:rPr>
        <w:t xml:space="preserve"> </w:t>
      </w:r>
      <w:r>
        <w:t>0.3)</w:t>
      </w:r>
      <w:r>
        <w:rPr>
          <w:spacing w:val="1"/>
        </w:rPr>
        <w:t xml:space="preserve"> </w:t>
      </w:r>
      <w:r>
        <w:t>seem</w:t>
      </w:r>
      <w:r>
        <w:rPr>
          <w:spacing w:val="1"/>
        </w:rPr>
        <w:t xml:space="preserve"> </w:t>
      </w:r>
      <w:r>
        <w:t>to</w:t>
      </w:r>
      <w:r>
        <w:rPr>
          <w:spacing w:val="1"/>
        </w:rPr>
        <w:t xml:space="preserve"> </w:t>
      </w:r>
      <w:r>
        <w:t>be</w:t>
      </w:r>
      <w:r>
        <w:rPr>
          <w:spacing w:val="1"/>
        </w:rPr>
        <w:t xml:space="preserve"> </w:t>
      </w:r>
      <w:r>
        <w:t>less widespread than they were in 1990. The</w:t>
      </w:r>
      <w:r>
        <w:rPr>
          <w:spacing w:val="1"/>
        </w:rPr>
        <w:t xml:space="preserve"> </w:t>
      </w:r>
      <w:r>
        <w:t>majority of these locations are found in the region's center. As seen by the apex of the histogram,</w:t>
      </w:r>
      <w:r>
        <w:rPr>
          <w:spacing w:val="-57"/>
        </w:rPr>
        <w:t xml:space="preserve"> </w:t>
      </w:r>
      <w:r>
        <w:t>the</w:t>
      </w:r>
      <w:r>
        <w:rPr>
          <w:spacing w:val="29"/>
        </w:rPr>
        <w:t xml:space="preserve"> </w:t>
      </w:r>
      <w:r>
        <w:t>moderate</w:t>
      </w:r>
      <w:r>
        <w:rPr>
          <w:spacing w:val="29"/>
        </w:rPr>
        <w:t xml:space="preserve"> </w:t>
      </w:r>
      <w:r>
        <w:t>vegetation</w:t>
      </w:r>
      <w:r>
        <w:rPr>
          <w:spacing w:val="29"/>
        </w:rPr>
        <w:t xml:space="preserve"> </w:t>
      </w:r>
      <w:r>
        <w:t>regions</w:t>
      </w:r>
      <w:r>
        <w:rPr>
          <w:spacing w:val="29"/>
        </w:rPr>
        <w:t xml:space="preserve"> </w:t>
      </w:r>
      <w:r>
        <w:t>(NDVI</w:t>
      </w:r>
      <w:r>
        <w:rPr>
          <w:spacing w:val="29"/>
        </w:rPr>
        <w:t xml:space="preserve"> </w:t>
      </w:r>
      <w:r>
        <w:t>0.1</w:t>
      </w:r>
      <w:r>
        <w:rPr>
          <w:spacing w:val="29"/>
        </w:rPr>
        <w:t xml:space="preserve"> </w:t>
      </w:r>
      <w:r>
        <w:t>to</w:t>
      </w:r>
      <w:r>
        <w:rPr>
          <w:spacing w:val="29"/>
        </w:rPr>
        <w:t xml:space="preserve"> </w:t>
      </w:r>
      <w:r>
        <w:t>0.3)</w:t>
      </w:r>
      <w:r>
        <w:rPr>
          <w:spacing w:val="15"/>
        </w:rPr>
        <w:t xml:space="preserve"> </w:t>
      </w:r>
      <w:r>
        <w:t>are</w:t>
      </w:r>
      <w:r>
        <w:rPr>
          <w:spacing w:val="14"/>
        </w:rPr>
        <w:t xml:space="preserve"> </w:t>
      </w:r>
      <w:r>
        <w:t>more</w:t>
      </w:r>
      <w:r>
        <w:rPr>
          <w:spacing w:val="14"/>
        </w:rPr>
        <w:t xml:space="preserve"> </w:t>
      </w:r>
      <w:r>
        <w:t>widely</w:t>
      </w:r>
      <w:r>
        <w:rPr>
          <w:spacing w:val="14"/>
        </w:rPr>
        <w:t xml:space="preserve"> </w:t>
      </w:r>
      <w:r>
        <w:t>distributed.</w:t>
      </w:r>
      <w:r>
        <w:rPr>
          <w:spacing w:val="15"/>
        </w:rPr>
        <w:t xml:space="preserve"> </w:t>
      </w:r>
      <w:r>
        <w:t>Particularly</w:t>
      </w:r>
      <w:r>
        <w:rPr>
          <w:spacing w:val="14"/>
        </w:rPr>
        <w:t xml:space="preserve"> </w:t>
      </w:r>
      <w:r>
        <w:t>in</w:t>
      </w:r>
      <w:r>
        <w:rPr>
          <w:spacing w:val="-58"/>
        </w:rPr>
        <w:t xml:space="preserve"> </w:t>
      </w:r>
      <w:r>
        <w:t>the northern and southern regions, low vegetation areas (NDVI &lt; 0.1) are more noticeable and</w:t>
      </w:r>
      <w:r>
        <w:rPr>
          <w:spacing w:val="1"/>
        </w:rPr>
        <w:t xml:space="preserve"> </w:t>
      </w:r>
      <w:r>
        <w:t>suggest some degradation or changes in land use. The data point to a rise in areas with moderate</w:t>
      </w:r>
      <w:r>
        <w:rPr>
          <w:spacing w:val="1"/>
        </w:rPr>
        <w:t xml:space="preserve"> </w:t>
      </w:r>
      <w:r>
        <w:t>to low vegetation cover and a decrease in areas with high vegetation cover. This suggests that</w:t>
      </w:r>
      <w:r>
        <w:rPr>
          <w:spacing w:val="1"/>
        </w:rPr>
        <w:t xml:space="preserve"> </w:t>
      </w:r>
      <w:r>
        <w:t>anthropogenic</w:t>
      </w:r>
      <w:r>
        <w:rPr>
          <w:spacing w:val="1"/>
        </w:rPr>
        <w:t xml:space="preserve"> </w:t>
      </w:r>
      <w:r>
        <w:t>or</w:t>
      </w:r>
      <w:r>
        <w:rPr>
          <w:spacing w:val="1"/>
        </w:rPr>
        <w:t xml:space="preserve"> </w:t>
      </w:r>
      <w:r>
        <w:t>environmental</w:t>
      </w:r>
      <w:r>
        <w:rPr>
          <w:spacing w:val="1"/>
        </w:rPr>
        <w:t xml:space="preserve"> </w:t>
      </w:r>
      <w:r>
        <w:t>stressors</w:t>
      </w:r>
      <w:r>
        <w:rPr>
          <w:spacing w:val="1"/>
        </w:rPr>
        <w:t xml:space="preserve"> </w:t>
      </w:r>
      <w:r>
        <w:t>may</w:t>
      </w:r>
      <w:r>
        <w:rPr>
          <w:spacing w:val="1"/>
        </w:rPr>
        <w:t xml:space="preserve"> </w:t>
      </w:r>
      <w:r>
        <w:t>be</w:t>
      </w:r>
      <w:r>
        <w:rPr>
          <w:spacing w:val="1"/>
        </w:rPr>
        <w:t xml:space="preserve"> </w:t>
      </w:r>
      <w:r>
        <w:t>harming</w:t>
      </w:r>
      <w:r>
        <w:rPr>
          <w:spacing w:val="60"/>
        </w:rPr>
        <w:t xml:space="preserve"> </w:t>
      </w:r>
      <w:r>
        <w:t>the health of the vegetation in the</w:t>
      </w:r>
      <w:r>
        <w:rPr>
          <w:spacing w:val="1"/>
        </w:rPr>
        <w:t xml:space="preserve"> </w:t>
      </w:r>
      <w:r>
        <w:t>area.</w:t>
      </w:r>
    </w:p>
    <w:p w14:paraId="557777AC" w14:textId="77777777" w:rsidR="00223E8C" w:rsidRDefault="00223E8C">
      <w:pPr>
        <w:spacing w:line="480" w:lineRule="auto"/>
        <w:jc w:val="both"/>
        <w:sectPr w:rsidR="00223E8C">
          <w:pgSz w:w="12240" w:h="15840"/>
          <w:pgMar w:top="1380" w:right="1300" w:bottom="1000" w:left="1340" w:header="0" w:footer="804" w:gutter="0"/>
          <w:cols w:space="720"/>
        </w:sectPr>
      </w:pPr>
    </w:p>
    <w:p w14:paraId="6336D939" w14:textId="77777777" w:rsidR="00223E8C" w:rsidRDefault="00000000">
      <w:pPr>
        <w:pStyle w:val="Heading2"/>
      </w:pPr>
      <w:r>
        <w:lastRenderedPageBreak/>
        <w:t>NDVI Analysis for 2010</w:t>
      </w:r>
    </w:p>
    <w:p w14:paraId="4A385472" w14:textId="77777777" w:rsidR="00223E8C" w:rsidRDefault="00223E8C">
      <w:pPr>
        <w:pStyle w:val="BodyText"/>
        <w:rPr>
          <w:b/>
          <w:sz w:val="26"/>
        </w:rPr>
      </w:pPr>
    </w:p>
    <w:p w14:paraId="6E0C731A" w14:textId="77777777" w:rsidR="00223E8C" w:rsidRDefault="00000000">
      <w:pPr>
        <w:spacing w:before="217"/>
        <w:ind w:left="100"/>
        <w:rPr>
          <w:i/>
          <w:sz w:val="24"/>
        </w:rPr>
      </w:pPr>
      <w:r>
        <w:rPr>
          <w:i/>
          <w:sz w:val="24"/>
        </w:rPr>
        <w:t>Fig. 4 Images for 2010</w:t>
      </w:r>
    </w:p>
    <w:p w14:paraId="6EA8968B" w14:textId="77777777" w:rsidR="00223E8C" w:rsidRDefault="00223E8C">
      <w:pPr>
        <w:pStyle w:val="BodyText"/>
        <w:rPr>
          <w:i/>
          <w:sz w:val="20"/>
        </w:rPr>
      </w:pPr>
    </w:p>
    <w:p w14:paraId="54A43420" w14:textId="77777777" w:rsidR="00223E8C" w:rsidRDefault="00000000">
      <w:pPr>
        <w:pStyle w:val="BodyText"/>
        <w:spacing w:before="5"/>
        <w:rPr>
          <w:i/>
          <w:sz w:val="29"/>
        </w:rPr>
      </w:pPr>
      <w:r>
        <w:rPr>
          <w:noProof/>
        </w:rPr>
        <w:drawing>
          <wp:anchor distT="0" distB="0" distL="0" distR="0" simplePos="0" relativeHeight="5" behindDoc="0" locked="0" layoutInCell="1" allowOverlap="1" wp14:anchorId="3CBB679D" wp14:editId="7C82C115">
            <wp:simplePos x="0" y="0"/>
            <wp:positionH relativeFrom="page">
              <wp:posOffset>986581</wp:posOffset>
            </wp:positionH>
            <wp:positionV relativeFrom="paragraph">
              <wp:posOffset>239798</wp:posOffset>
            </wp:positionV>
            <wp:extent cx="3015015" cy="2150364"/>
            <wp:effectExtent l="0" t="0" r="0" b="0"/>
            <wp:wrapTopAndBottom/>
            <wp:docPr id="9"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jpeg"/>
                    <pic:cNvPicPr/>
                  </pic:nvPicPr>
                  <pic:blipFill>
                    <a:blip r:embed="rId13" cstate="print"/>
                    <a:stretch>
                      <a:fillRect/>
                    </a:stretch>
                  </pic:blipFill>
                  <pic:spPr>
                    <a:xfrm>
                      <a:off x="0" y="0"/>
                      <a:ext cx="3015015" cy="2150364"/>
                    </a:xfrm>
                    <a:prstGeom prst="rect">
                      <a:avLst/>
                    </a:prstGeom>
                  </pic:spPr>
                </pic:pic>
              </a:graphicData>
            </a:graphic>
          </wp:anchor>
        </w:drawing>
      </w:r>
      <w:r>
        <w:pict w14:anchorId="3F3634AC">
          <v:group id="_x0000_s2050" style="position:absolute;margin-left:327pt;margin-top:25.55pt;width:213pt;height:179.4pt;z-index:-15725568;mso-wrap-distance-left:0;mso-wrap-distance-right:0;mso-position-horizontal-relative:page;mso-position-vertical-relative:text" coordorigin="6540,511" coordsize="4260,3588">
            <v:shape id="_x0000_s2053" type="#_x0000_t75" style="position:absolute;left:6748;top:511;width:4052;height:3588">
              <v:imagedata r:id="rId14" o:title=""/>
            </v:shape>
            <v:shape id="_x0000_s2052" type="#_x0000_t202" style="position:absolute;left:6540;top:3672;width:287;height:266" filled="f" stroked="f">
              <v:textbox inset="0,0,0,0">
                <w:txbxContent>
                  <w:p w14:paraId="60106C2E" w14:textId="77777777" w:rsidR="00223E8C" w:rsidRDefault="00000000">
                    <w:pPr>
                      <w:spacing w:line="266" w:lineRule="exact"/>
                      <w:rPr>
                        <w:sz w:val="24"/>
                      </w:rPr>
                    </w:pPr>
                    <w:r>
                      <w:rPr>
                        <w:sz w:val="24"/>
                      </w:rPr>
                      <w:t>(a)</w:t>
                    </w:r>
                  </w:p>
                </w:txbxContent>
              </v:textbox>
            </v:shape>
            <v:shape id="_x0000_s2051" type="#_x0000_t202" style="position:absolute;left:10320;top:3672;width:300;height:266" filled="f" stroked="f">
              <v:textbox inset="0,0,0,0">
                <w:txbxContent>
                  <w:p w14:paraId="005F222F" w14:textId="77777777" w:rsidR="00223E8C" w:rsidRDefault="00000000">
                    <w:pPr>
                      <w:spacing w:line="266" w:lineRule="exact"/>
                      <w:rPr>
                        <w:sz w:val="24"/>
                      </w:rPr>
                    </w:pPr>
                    <w:r>
                      <w:rPr>
                        <w:sz w:val="24"/>
                      </w:rPr>
                      <w:t>(b)</w:t>
                    </w:r>
                  </w:p>
                </w:txbxContent>
              </v:textbox>
            </v:shape>
            <w10:wrap type="topAndBottom" anchorx="page"/>
          </v:group>
        </w:pict>
      </w:r>
    </w:p>
    <w:p w14:paraId="3A70A38A" w14:textId="77777777" w:rsidR="00223E8C" w:rsidRDefault="00000000">
      <w:pPr>
        <w:pStyle w:val="BodyText"/>
        <w:spacing w:before="86" w:line="480" w:lineRule="auto"/>
        <w:ind w:left="100" w:right="138"/>
        <w:jc w:val="both"/>
      </w:pPr>
      <w:r>
        <w:t>The NDVI map for Obuasi in 2010 reveals a varied distribution of vegetation cover across the</w:t>
      </w:r>
      <w:r>
        <w:rPr>
          <w:spacing w:val="1"/>
        </w:rPr>
        <w:t xml:space="preserve"> </w:t>
      </w:r>
      <w:r>
        <w:t>region,</w:t>
      </w:r>
      <w:r>
        <w:rPr>
          <w:spacing w:val="1"/>
        </w:rPr>
        <w:t xml:space="preserve"> </w:t>
      </w:r>
      <w:r>
        <w:t>with</w:t>
      </w:r>
      <w:r>
        <w:rPr>
          <w:spacing w:val="1"/>
        </w:rPr>
        <w:t xml:space="preserve"> </w:t>
      </w:r>
      <w:r>
        <w:t>a</w:t>
      </w:r>
      <w:r>
        <w:rPr>
          <w:spacing w:val="1"/>
        </w:rPr>
        <w:t xml:space="preserve"> </w:t>
      </w:r>
      <w:r>
        <w:t>significant</w:t>
      </w:r>
      <w:r>
        <w:rPr>
          <w:spacing w:val="1"/>
        </w:rPr>
        <w:t xml:space="preserve"> </w:t>
      </w:r>
      <w:r>
        <w:t>portion</w:t>
      </w:r>
      <w:r>
        <w:rPr>
          <w:spacing w:val="1"/>
        </w:rPr>
        <w:t xml:space="preserve"> </w:t>
      </w:r>
      <w:r>
        <w:t>of</w:t>
      </w:r>
      <w:r>
        <w:rPr>
          <w:spacing w:val="1"/>
        </w:rPr>
        <w:t xml:space="preserve"> </w:t>
      </w:r>
      <w:r>
        <w:t>the</w:t>
      </w:r>
      <w:r>
        <w:rPr>
          <w:spacing w:val="1"/>
        </w:rPr>
        <w:t xml:space="preserve"> </w:t>
      </w:r>
      <w:r>
        <w:t>area falling within the low to moderate vegetation</w:t>
      </w:r>
      <w:r>
        <w:rPr>
          <w:spacing w:val="1"/>
        </w:rPr>
        <w:t xml:space="preserve"> </w:t>
      </w:r>
      <w:r>
        <w:t>categories.</w:t>
      </w:r>
      <w:r>
        <w:rPr>
          <w:spacing w:val="1"/>
        </w:rPr>
        <w:t xml:space="preserve"> </w:t>
      </w:r>
      <w:r>
        <w:t>This</w:t>
      </w:r>
      <w:r>
        <w:rPr>
          <w:spacing w:val="1"/>
        </w:rPr>
        <w:t xml:space="preserve"> </w:t>
      </w:r>
      <w:r>
        <w:t>is</w:t>
      </w:r>
      <w:r>
        <w:rPr>
          <w:spacing w:val="1"/>
        </w:rPr>
        <w:t xml:space="preserve"> </w:t>
      </w:r>
      <w:r>
        <w:t>visually</w:t>
      </w:r>
      <w:r>
        <w:rPr>
          <w:spacing w:val="60"/>
        </w:rPr>
        <w:t xml:space="preserve"> </w:t>
      </w:r>
      <w:r>
        <w:t>represented by the predominance of dark purple and green on the</w:t>
      </w:r>
      <w:r>
        <w:rPr>
          <w:spacing w:val="1"/>
        </w:rPr>
        <w:t xml:space="preserve"> </w:t>
      </w:r>
      <w:r>
        <w:t>map,</w:t>
      </w:r>
      <w:r>
        <w:rPr>
          <w:spacing w:val="1"/>
        </w:rPr>
        <w:t xml:space="preserve"> </w:t>
      </w:r>
      <w:r>
        <w:t>indicating</w:t>
      </w:r>
      <w:r>
        <w:rPr>
          <w:spacing w:val="1"/>
        </w:rPr>
        <w:t xml:space="preserve"> </w:t>
      </w:r>
      <w:r>
        <w:t>sparse</w:t>
      </w:r>
      <w:r>
        <w:rPr>
          <w:spacing w:val="1"/>
        </w:rPr>
        <w:t xml:space="preserve"> </w:t>
      </w:r>
      <w:r>
        <w:t>to</w:t>
      </w:r>
      <w:r>
        <w:rPr>
          <w:spacing w:val="1"/>
        </w:rPr>
        <w:t xml:space="preserve"> </w:t>
      </w:r>
      <w:r>
        <w:t>moderate</w:t>
      </w:r>
      <w:r>
        <w:rPr>
          <w:spacing w:val="1"/>
        </w:rPr>
        <w:t xml:space="preserve"> </w:t>
      </w:r>
      <w:r>
        <w:t>vegetation.</w:t>
      </w:r>
      <w:r>
        <w:rPr>
          <w:spacing w:val="1"/>
        </w:rPr>
        <w:t xml:space="preserve"> </w:t>
      </w:r>
      <w:r>
        <w:t>The</w:t>
      </w:r>
      <w:r>
        <w:rPr>
          <w:spacing w:val="1"/>
        </w:rPr>
        <w:t xml:space="preserve"> </w:t>
      </w:r>
      <w:r>
        <w:t>corresponding</w:t>
      </w:r>
      <w:r>
        <w:rPr>
          <w:spacing w:val="1"/>
        </w:rPr>
        <w:t xml:space="preserve"> </w:t>
      </w:r>
      <w:r>
        <w:t>histogram</w:t>
      </w:r>
      <w:r>
        <w:rPr>
          <w:spacing w:val="1"/>
        </w:rPr>
        <w:t xml:space="preserve"> </w:t>
      </w:r>
      <w:r>
        <w:t>quantitatively</w:t>
      </w:r>
      <w:r>
        <w:rPr>
          <w:spacing w:val="1"/>
        </w:rPr>
        <w:t xml:space="preserve"> </w:t>
      </w:r>
      <w:r>
        <w:t>supports these observations, showing a concentration of NDVI values between 0 and 0.3, with</w:t>
      </w:r>
      <w:r>
        <w:rPr>
          <w:spacing w:val="1"/>
        </w:rPr>
        <w:t xml:space="preserve"> </w:t>
      </w:r>
      <w:r>
        <w:t>pronounced peaks around the 0.2 mark. This indicates that most of Obuasi in 2010 had moderate</w:t>
      </w:r>
      <w:r>
        <w:rPr>
          <w:spacing w:val="1"/>
        </w:rPr>
        <w:t xml:space="preserve"> </w:t>
      </w:r>
      <w:r>
        <w:t>vegetation</w:t>
      </w:r>
      <w:r>
        <w:rPr>
          <w:spacing w:val="1"/>
        </w:rPr>
        <w:t xml:space="preserve"> </w:t>
      </w:r>
      <w:r>
        <w:t>cover,</w:t>
      </w:r>
      <w:r>
        <w:rPr>
          <w:spacing w:val="1"/>
        </w:rPr>
        <w:t xml:space="preserve"> </w:t>
      </w:r>
      <w:r>
        <w:t>as</w:t>
      </w:r>
      <w:r>
        <w:rPr>
          <w:spacing w:val="1"/>
        </w:rPr>
        <w:t xml:space="preserve"> </w:t>
      </w:r>
      <w:r>
        <w:t>evidenced</w:t>
      </w:r>
      <w:r>
        <w:rPr>
          <w:spacing w:val="1"/>
        </w:rPr>
        <w:t xml:space="preserve"> </w:t>
      </w:r>
      <w:r>
        <w:t>by</w:t>
      </w:r>
      <w:r>
        <w:rPr>
          <w:spacing w:val="1"/>
        </w:rPr>
        <w:t xml:space="preserve"> </w:t>
      </w:r>
      <w:r>
        <w:t>the high frequency of pixels in this range. The scattered</w:t>
      </w:r>
      <w:r>
        <w:rPr>
          <w:spacing w:val="1"/>
        </w:rPr>
        <w:t xml:space="preserve"> </w:t>
      </w:r>
      <w:r>
        <w:t>patches of high vegetation (yellow areas on the map) align with the less frequent NDVI values</w:t>
      </w:r>
      <w:r>
        <w:rPr>
          <w:spacing w:val="1"/>
        </w:rPr>
        <w:t xml:space="preserve"> </w:t>
      </w:r>
      <w:r>
        <w:t>greater</w:t>
      </w:r>
      <w:r>
        <w:rPr>
          <w:spacing w:val="1"/>
        </w:rPr>
        <w:t xml:space="preserve"> </w:t>
      </w:r>
      <w:r>
        <w:t>than</w:t>
      </w:r>
      <w:r>
        <w:rPr>
          <w:spacing w:val="1"/>
        </w:rPr>
        <w:t xml:space="preserve"> </w:t>
      </w:r>
      <w:r>
        <w:t>0.3 seen on the histogram. Additionally, the presence of values below 0 in the</w:t>
      </w:r>
      <w:r>
        <w:rPr>
          <w:spacing w:val="1"/>
        </w:rPr>
        <w:t xml:space="preserve"> </w:t>
      </w:r>
      <w:r>
        <w:t>histogram suggests non-vegetated surfaces or water bodies within the region, correlating with</w:t>
      </w:r>
      <w:r>
        <w:rPr>
          <w:spacing w:val="1"/>
        </w:rPr>
        <w:t xml:space="preserve"> </w:t>
      </w:r>
      <w:r>
        <w:t>dark areas on the map.</w:t>
      </w:r>
    </w:p>
    <w:p w14:paraId="0E3EBEE6" w14:textId="77777777" w:rsidR="00223E8C" w:rsidRDefault="00223E8C">
      <w:pPr>
        <w:spacing w:line="480" w:lineRule="auto"/>
        <w:jc w:val="both"/>
        <w:sectPr w:rsidR="00223E8C">
          <w:pgSz w:w="12240" w:h="15840"/>
          <w:pgMar w:top="1380" w:right="1300" w:bottom="1000" w:left="1340" w:header="0" w:footer="804" w:gutter="0"/>
          <w:cols w:space="720"/>
        </w:sectPr>
      </w:pPr>
    </w:p>
    <w:p w14:paraId="182E4843" w14:textId="77777777" w:rsidR="00223E8C" w:rsidRDefault="00000000">
      <w:pPr>
        <w:pStyle w:val="Heading2"/>
      </w:pPr>
      <w:r>
        <w:lastRenderedPageBreak/>
        <w:t>NDVI Analysis for 2020</w:t>
      </w:r>
    </w:p>
    <w:p w14:paraId="4296E97D" w14:textId="77777777" w:rsidR="00223E8C" w:rsidRDefault="00223E8C">
      <w:pPr>
        <w:pStyle w:val="BodyText"/>
        <w:rPr>
          <w:b/>
          <w:sz w:val="26"/>
        </w:rPr>
      </w:pPr>
    </w:p>
    <w:p w14:paraId="32882E43" w14:textId="77777777" w:rsidR="00223E8C" w:rsidRDefault="00000000">
      <w:pPr>
        <w:spacing w:before="217"/>
        <w:ind w:left="100"/>
        <w:rPr>
          <w:i/>
          <w:sz w:val="24"/>
        </w:rPr>
      </w:pPr>
      <w:r>
        <w:rPr>
          <w:i/>
          <w:sz w:val="24"/>
        </w:rPr>
        <w:t>Fig. 5 Images for 2020</w:t>
      </w:r>
    </w:p>
    <w:p w14:paraId="2D638F9E" w14:textId="77777777" w:rsidR="00223E8C" w:rsidRDefault="00223E8C">
      <w:pPr>
        <w:pStyle w:val="BodyText"/>
        <w:rPr>
          <w:i/>
          <w:sz w:val="20"/>
        </w:rPr>
      </w:pPr>
    </w:p>
    <w:p w14:paraId="5F895A9E" w14:textId="77777777" w:rsidR="00223E8C" w:rsidRDefault="00223E8C">
      <w:pPr>
        <w:pStyle w:val="BodyText"/>
        <w:rPr>
          <w:i/>
          <w:sz w:val="20"/>
        </w:rPr>
      </w:pPr>
    </w:p>
    <w:p w14:paraId="33663E69" w14:textId="77777777" w:rsidR="00223E8C" w:rsidRDefault="00223E8C">
      <w:pPr>
        <w:pStyle w:val="BodyText"/>
        <w:rPr>
          <w:i/>
          <w:sz w:val="20"/>
        </w:rPr>
      </w:pPr>
    </w:p>
    <w:p w14:paraId="747501E8" w14:textId="77777777" w:rsidR="00223E8C" w:rsidRDefault="00223E8C">
      <w:pPr>
        <w:pStyle w:val="BodyText"/>
        <w:rPr>
          <w:i/>
          <w:sz w:val="20"/>
        </w:rPr>
      </w:pPr>
    </w:p>
    <w:p w14:paraId="47D71139" w14:textId="77777777" w:rsidR="00223E8C" w:rsidRDefault="00223E8C">
      <w:pPr>
        <w:pStyle w:val="BodyText"/>
        <w:rPr>
          <w:i/>
          <w:sz w:val="20"/>
        </w:rPr>
      </w:pPr>
    </w:p>
    <w:p w14:paraId="20BC9FEF" w14:textId="77777777" w:rsidR="00223E8C" w:rsidRDefault="00223E8C">
      <w:pPr>
        <w:pStyle w:val="BodyText"/>
        <w:rPr>
          <w:i/>
          <w:sz w:val="20"/>
        </w:rPr>
      </w:pPr>
    </w:p>
    <w:p w14:paraId="7F5060B2" w14:textId="77777777" w:rsidR="00223E8C" w:rsidRDefault="00223E8C">
      <w:pPr>
        <w:pStyle w:val="BodyText"/>
        <w:rPr>
          <w:i/>
          <w:sz w:val="20"/>
        </w:rPr>
      </w:pPr>
    </w:p>
    <w:p w14:paraId="499A9ACE" w14:textId="77777777" w:rsidR="00223E8C" w:rsidRDefault="00223E8C">
      <w:pPr>
        <w:pStyle w:val="BodyText"/>
        <w:rPr>
          <w:i/>
          <w:sz w:val="20"/>
        </w:rPr>
      </w:pPr>
    </w:p>
    <w:p w14:paraId="4B319A57" w14:textId="77777777" w:rsidR="00223E8C" w:rsidRDefault="00223E8C">
      <w:pPr>
        <w:pStyle w:val="BodyText"/>
        <w:rPr>
          <w:i/>
          <w:sz w:val="20"/>
        </w:rPr>
      </w:pPr>
    </w:p>
    <w:p w14:paraId="48FADCB6" w14:textId="77777777" w:rsidR="00223E8C" w:rsidRDefault="00223E8C">
      <w:pPr>
        <w:pStyle w:val="BodyText"/>
        <w:rPr>
          <w:i/>
          <w:sz w:val="20"/>
        </w:rPr>
      </w:pPr>
    </w:p>
    <w:p w14:paraId="5AF21B8A" w14:textId="77777777" w:rsidR="00223E8C" w:rsidRDefault="00223E8C">
      <w:pPr>
        <w:pStyle w:val="BodyText"/>
        <w:rPr>
          <w:i/>
          <w:sz w:val="20"/>
        </w:rPr>
      </w:pPr>
    </w:p>
    <w:p w14:paraId="15176CC7" w14:textId="77777777" w:rsidR="00223E8C" w:rsidRDefault="00223E8C">
      <w:pPr>
        <w:pStyle w:val="BodyText"/>
        <w:rPr>
          <w:i/>
          <w:sz w:val="20"/>
        </w:rPr>
      </w:pPr>
    </w:p>
    <w:p w14:paraId="3EB4DA7F" w14:textId="77777777" w:rsidR="00223E8C" w:rsidRDefault="00223E8C">
      <w:pPr>
        <w:pStyle w:val="BodyText"/>
        <w:rPr>
          <w:i/>
          <w:sz w:val="20"/>
        </w:rPr>
      </w:pPr>
    </w:p>
    <w:p w14:paraId="3B2F0990" w14:textId="77777777" w:rsidR="00223E8C" w:rsidRDefault="00223E8C">
      <w:pPr>
        <w:pStyle w:val="BodyText"/>
        <w:rPr>
          <w:i/>
          <w:sz w:val="20"/>
        </w:rPr>
      </w:pPr>
    </w:p>
    <w:p w14:paraId="168EA179" w14:textId="77777777" w:rsidR="00223E8C" w:rsidRDefault="00223E8C">
      <w:pPr>
        <w:pStyle w:val="BodyText"/>
        <w:rPr>
          <w:i/>
          <w:sz w:val="20"/>
        </w:rPr>
      </w:pPr>
    </w:p>
    <w:p w14:paraId="78D54F5C" w14:textId="77777777" w:rsidR="00223E8C" w:rsidRDefault="00223E8C">
      <w:pPr>
        <w:pStyle w:val="BodyText"/>
        <w:spacing w:before="4"/>
        <w:rPr>
          <w:i/>
          <w:sz w:val="25"/>
        </w:rPr>
      </w:pPr>
    </w:p>
    <w:p w14:paraId="2A52634D" w14:textId="77777777" w:rsidR="00223E8C" w:rsidRDefault="00000000">
      <w:pPr>
        <w:pStyle w:val="BodyText"/>
        <w:tabs>
          <w:tab w:val="left" w:pos="8871"/>
        </w:tabs>
        <w:spacing w:before="90"/>
        <w:ind w:left="5035"/>
      </w:pPr>
      <w:r>
        <w:rPr>
          <w:noProof/>
        </w:rPr>
        <w:drawing>
          <wp:anchor distT="0" distB="0" distL="0" distR="0" simplePos="0" relativeHeight="15732224" behindDoc="0" locked="0" layoutInCell="1" allowOverlap="1" wp14:anchorId="1D8F6FA5" wp14:editId="22BAD985">
            <wp:simplePos x="0" y="0"/>
            <wp:positionH relativeFrom="page">
              <wp:posOffset>984842</wp:posOffset>
            </wp:positionH>
            <wp:positionV relativeFrom="paragraph">
              <wp:posOffset>-1953496</wp:posOffset>
            </wp:positionV>
            <wp:extent cx="2995863" cy="2134770"/>
            <wp:effectExtent l="0" t="0" r="0" b="0"/>
            <wp:wrapNone/>
            <wp:docPr id="11"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8.jpeg"/>
                    <pic:cNvPicPr/>
                  </pic:nvPicPr>
                  <pic:blipFill>
                    <a:blip r:embed="rId15" cstate="print"/>
                    <a:stretch>
                      <a:fillRect/>
                    </a:stretch>
                  </pic:blipFill>
                  <pic:spPr>
                    <a:xfrm>
                      <a:off x="0" y="0"/>
                      <a:ext cx="2995863" cy="2134770"/>
                    </a:xfrm>
                    <a:prstGeom prst="rect">
                      <a:avLst/>
                    </a:prstGeom>
                  </pic:spPr>
                </pic:pic>
              </a:graphicData>
            </a:graphic>
          </wp:anchor>
        </w:drawing>
      </w:r>
      <w:r>
        <w:rPr>
          <w:noProof/>
        </w:rPr>
        <w:drawing>
          <wp:anchor distT="0" distB="0" distL="0" distR="0" simplePos="0" relativeHeight="487360512" behindDoc="1" locked="0" layoutInCell="1" allowOverlap="1" wp14:anchorId="75378F37" wp14:editId="6F7E3141">
            <wp:simplePos x="0" y="0"/>
            <wp:positionH relativeFrom="page">
              <wp:posOffset>4262321</wp:posOffset>
            </wp:positionH>
            <wp:positionV relativeFrom="paragraph">
              <wp:posOffset>-2029420</wp:posOffset>
            </wp:positionV>
            <wp:extent cx="2202846" cy="2202846"/>
            <wp:effectExtent l="0" t="0" r="0" b="0"/>
            <wp:wrapNone/>
            <wp:docPr id="13"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9.jpeg"/>
                    <pic:cNvPicPr/>
                  </pic:nvPicPr>
                  <pic:blipFill>
                    <a:blip r:embed="rId16" cstate="print"/>
                    <a:stretch>
                      <a:fillRect/>
                    </a:stretch>
                  </pic:blipFill>
                  <pic:spPr>
                    <a:xfrm>
                      <a:off x="0" y="0"/>
                      <a:ext cx="2202846" cy="2202846"/>
                    </a:xfrm>
                    <a:prstGeom prst="rect">
                      <a:avLst/>
                    </a:prstGeom>
                  </pic:spPr>
                </pic:pic>
              </a:graphicData>
            </a:graphic>
          </wp:anchor>
        </w:drawing>
      </w:r>
      <w:r>
        <w:t>(a)</w:t>
      </w:r>
      <w:r>
        <w:tab/>
        <w:t>(b)</w:t>
      </w:r>
    </w:p>
    <w:p w14:paraId="35B84396" w14:textId="77777777" w:rsidR="00223E8C" w:rsidRDefault="00223E8C">
      <w:pPr>
        <w:pStyle w:val="BodyText"/>
        <w:spacing w:before="2"/>
        <w:rPr>
          <w:sz w:val="16"/>
        </w:rPr>
      </w:pPr>
    </w:p>
    <w:p w14:paraId="79059752" w14:textId="77777777" w:rsidR="00223E8C" w:rsidRDefault="00000000">
      <w:pPr>
        <w:pStyle w:val="BodyText"/>
        <w:spacing w:before="90" w:line="480" w:lineRule="auto"/>
        <w:ind w:left="100" w:right="139"/>
        <w:jc w:val="both"/>
      </w:pPr>
      <w:r>
        <w:t>The 2020 NDVI map and histogram for Obuasi provide important details on the vegetation in the</w:t>
      </w:r>
      <w:r>
        <w:rPr>
          <w:spacing w:val="-57"/>
        </w:rPr>
        <w:t xml:space="preserve"> </w:t>
      </w:r>
      <w:r>
        <w:t>region. The region is predominantly covered with fairly dense vegetation, such as grasslands,</w:t>
      </w:r>
      <w:r>
        <w:rPr>
          <w:spacing w:val="1"/>
        </w:rPr>
        <w:t xml:space="preserve"> </w:t>
      </w:r>
      <w:r>
        <w:t>crops, and secondary woods, as indicated by the map's extensive green regions, which signify</w:t>
      </w:r>
      <w:r>
        <w:rPr>
          <w:spacing w:val="1"/>
        </w:rPr>
        <w:t xml:space="preserve"> </w:t>
      </w:r>
      <w:r>
        <w:t>moderate vegetation (0.1 &lt; NDVI ≤ 0.3). These areas also match the noticeable peak in the same</w:t>
      </w:r>
      <w:r>
        <w:rPr>
          <w:spacing w:val="1"/>
        </w:rPr>
        <w:t xml:space="preserve"> </w:t>
      </w:r>
      <w:r>
        <w:t>range on the histogram. There are fewer places with dense and healthy vegetation, which include</w:t>
      </w:r>
      <w:r>
        <w:rPr>
          <w:spacing w:val="-57"/>
        </w:rPr>
        <w:t xml:space="preserve"> </w:t>
      </w:r>
      <w:r>
        <w:t>mature woods or exceptionally healthy crops, as indicated by the limited yellow areas on the map</w:t>
      </w:r>
      <w:r>
        <w:rPr>
          <w:spacing w:val="-57"/>
        </w:rPr>
        <w:t xml:space="preserve"> </w:t>
      </w:r>
      <w:r>
        <w:t>and</w:t>
      </w:r>
      <w:r>
        <w:rPr>
          <w:spacing w:val="1"/>
        </w:rPr>
        <w:t xml:space="preserve"> </w:t>
      </w:r>
      <w:r>
        <w:t>the</w:t>
      </w:r>
      <w:r>
        <w:rPr>
          <w:spacing w:val="1"/>
        </w:rPr>
        <w:t xml:space="preserve"> </w:t>
      </w:r>
      <w:r>
        <w:t>correspondingly</w:t>
      </w:r>
      <w:r>
        <w:rPr>
          <w:spacing w:val="1"/>
        </w:rPr>
        <w:t xml:space="preserve"> </w:t>
      </w:r>
      <w:r>
        <w:t>lesser</w:t>
      </w:r>
      <w:r>
        <w:rPr>
          <w:spacing w:val="1"/>
        </w:rPr>
        <w:t xml:space="preserve"> </w:t>
      </w:r>
      <w:r>
        <w:t>frequency</w:t>
      </w:r>
      <w:r>
        <w:rPr>
          <w:spacing w:val="1"/>
        </w:rPr>
        <w:t xml:space="preserve"> </w:t>
      </w:r>
      <w:r>
        <w:t>in</w:t>
      </w:r>
      <w:r>
        <w:rPr>
          <w:spacing w:val="1"/>
        </w:rPr>
        <w:t xml:space="preserve"> </w:t>
      </w:r>
      <w:r>
        <w:t>the</w:t>
      </w:r>
      <w:r>
        <w:rPr>
          <w:spacing w:val="1"/>
        </w:rPr>
        <w:t xml:space="preserve"> </w:t>
      </w:r>
      <w:r>
        <w:t>histogram</w:t>
      </w:r>
      <w:r>
        <w:rPr>
          <w:spacing w:val="1"/>
        </w:rPr>
        <w:t xml:space="preserve"> </w:t>
      </w:r>
      <w:r>
        <w:t>for</w:t>
      </w:r>
      <w:r>
        <w:rPr>
          <w:spacing w:val="1"/>
        </w:rPr>
        <w:t xml:space="preserve"> </w:t>
      </w:r>
      <w:r>
        <w:t>high</w:t>
      </w:r>
      <w:r>
        <w:rPr>
          <w:spacing w:val="1"/>
        </w:rPr>
        <w:t xml:space="preserve"> </w:t>
      </w:r>
      <w:r>
        <w:t>NDVI</w:t>
      </w:r>
      <w:r>
        <w:rPr>
          <w:spacing w:val="1"/>
        </w:rPr>
        <w:t xml:space="preserve"> </w:t>
      </w:r>
      <w:r>
        <w:t>values</w:t>
      </w:r>
      <w:r>
        <w:rPr>
          <w:spacing w:val="1"/>
        </w:rPr>
        <w:t xml:space="preserve"> </w:t>
      </w:r>
      <w:r>
        <w:t>(&gt;</w:t>
      </w:r>
      <w:r>
        <w:rPr>
          <w:spacing w:val="1"/>
        </w:rPr>
        <w:t xml:space="preserve"> </w:t>
      </w:r>
      <w:r>
        <w:t>0.3).</w:t>
      </w:r>
      <w:r>
        <w:rPr>
          <w:spacing w:val="1"/>
        </w:rPr>
        <w:t xml:space="preserve"> </w:t>
      </w:r>
      <w:r>
        <w:t>Conversely,</w:t>
      </w:r>
      <w:r>
        <w:rPr>
          <w:spacing w:val="-2"/>
        </w:rPr>
        <w:t xml:space="preserve"> </w:t>
      </w:r>
      <w:r>
        <w:t>the</w:t>
      </w:r>
      <w:r>
        <w:rPr>
          <w:spacing w:val="-2"/>
        </w:rPr>
        <w:t xml:space="preserve"> </w:t>
      </w:r>
      <w:r>
        <w:t>sparse</w:t>
      </w:r>
      <w:r>
        <w:rPr>
          <w:spacing w:val="-2"/>
        </w:rPr>
        <w:t xml:space="preserve"> </w:t>
      </w:r>
      <w:r>
        <w:t>blue</w:t>
      </w:r>
      <w:r>
        <w:rPr>
          <w:spacing w:val="-1"/>
        </w:rPr>
        <w:t xml:space="preserve"> </w:t>
      </w:r>
      <w:r>
        <w:t>areas</w:t>
      </w:r>
      <w:r>
        <w:rPr>
          <w:spacing w:val="-2"/>
        </w:rPr>
        <w:t xml:space="preserve"> </w:t>
      </w:r>
      <w:r>
        <w:t>on</w:t>
      </w:r>
      <w:r>
        <w:rPr>
          <w:spacing w:val="-2"/>
        </w:rPr>
        <w:t xml:space="preserve"> </w:t>
      </w:r>
      <w:r>
        <w:t>the</w:t>
      </w:r>
      <w:r>
        <w:rPr>
          <w:spacing w:val="-1"/>
        </w:rPr>
        <w:t xml:space="preserve"> </w:t>
      </w:r>
      <w:r>
        <w:t>map</w:t>
      </w:r>
      <w:r>
        <w:rPr>
          <w:spacing w:val="-2"/>
        </w:rPr>
        <w:t xml:space="preserve"> </w:t>
      </w:r>
      <w:r>
        <w:t>and</w:t>
      </w:r>
      <w:r>
        <w:rPr>
          <w:spacing w:val="-2"/>
        </w:rPr>
        <w:t xml:space="preserve"> </w:t>
      </w:r>
      <w:r>
        <w:t>the</w:t>
      </w:r>
      <w:r>
        <w:rPr>
          <w:spacing w:val="-2"/>
        </w:rPr>
        <w:t xml:space="preserve"> </w:t>
      </w:r>
      <w:r>
        <w:t>low</w:t>
      </w:r>
      <w:r>
        <w:rPr>
          <w:spacing w:val="-1"/>
        </w:rPr>
        <w:t xml:space="preserve"> </w:t>
      </w:r>
      <w:r>
        <w:t>frequency</w:t>
      </w:r>
      <w:r>
        <w:rPr>
          <w:spacing w:val="-2"/>
        </w:rPr>
        <w:t xml:space="preserve"> </w:t>
      </w:r>
      <w:r>
        <w:t>of</w:t>
      </w:r>
      <w:r>
        <w:rPr>
          <w:spacing w:val="-2"/>
        </w:rPr>
        <w:t xml:space="preserve"> </w:t>
      </w:r>
      <w:r>
        <w:t>pixels</w:t>
      </w:r>
      <w:r>
        <w:rPr>
          <w:spacing w:val="-1"/>
        </w:rPr>
        <w:t xml:space="preserve"> </w:t>
      </w:r>
      <w:r>
        <w:t>in</w:t>
      </w:r>
      <w:r>
        <w:rPr>
          <w:spacing w:val="-2"/>
        </w:rPr>
        <w:t xml:space="preserve"> </w:t>
      </w:r>
      <w:r>
        <w:t>the</w:t>
      </w:r>
      <w:r>
        <w:rPr>
          <w:spacing w:val="-2"/>
        </w:rPr>
        <w:t xml:space="preserve"> </w:t>
      </w:r>
      <w:r>
        <w:t>histogram</w:t>
      </w:r>
      <w:r>
        <w:rPr>
          <w:spacing w:val="-1"/>
        </w:rPr>
        <w:t xml:space="preserve"> </w:t>
      </w:r>
      <w:r>
        <w:t>for</w:t>
      </w:r>
      <w:r>
        <w:rPr>
          <w:spacing w:val="-58"/>
        </w:rPr>
        <w:t xml:space="preserve"> </w:t>
      </w:r>
      <w:r>
        <w:t>low NDVI values (&lt; 0.1) indicate minimal regions with sparse or no vegetation, representing</w:t>
      </w:r>
      <w:r>
        <w:rPr>
          <w:spacing w:val="1"/>
        </w:rPr>
        <w:t xml:space="preserve"> </w:t>
      </w:r>
      <w:r>
        <w:t>urban</w:t>
      </w:r>
      <w:r>
        <w:rPr>
          <w:spacing w:val="1"/>
        </w:rPr>
        <w:t xml:space="preserve"> </w:t>
      </w:r>
      <w:r>
        <w:t>areas,</w:t>
      </w:r>
      <w:r>
        <w:rPr>
          <w:spacing w:val="1"/>
        </w:rPr>
        <w:t xml:space="preserve"> </w:t>
      </w:r>
      <w:r>
        <w:t>bare</w:t>
      </w:r>
      <w:r>
        <w:rPr>
          <w:spacing w:val="1"/>
        </w:rPr>
        <w:t xml:space="preserve"> </w:t>
      </w:r>
      <w:r>
        <w:t>soil,</w:t>
      </w:r>
      <w:r>
        <w:rPr>
          <w:spacing w:val="1"/>
        </w:rPr>
        <w:t xml:space="preserve"> </w:t>
      </w:r>
      <w:r>
        <w:t>or water bodies. Overall, the analysis highlights that while moderate</w:t>
      </w:r>
      <w:r>
        <w:rPr>
          <w:spacing w:val="1"/>
        </w:rPr>
        <w:t xml:space="preserve"> </w:t>
      </w:r>
      <w:r>
        <w:t>vegetation is prevalent, dense vegetation is limited, and sparsely vegetated areas are minimal in</w:t>
      </w:r>
      <w:r>
        <w:rPr>
          <w:spacing w:val="1"/>
        </w:rPr>
        <w:t xml:space="preserve"> </w:t>
      </w:r>
      <w:r>
        <w:t>Obuasi.</w:t>
      </w:r>
    </w:p>
    <w:p w14:paraId="668B3014" w14:textId="77777777" w:rsidR="00223E8C" w:rsidRDefault="00223E8C">
      <w:pPr>
        <w:spacing w:line="480" w:lineRule="auto"/>
        <w:jc w:val="both"/>
        <w:sectPr w:rsidR="00223E8C">
          <w:pgSz w:w="12240" w:h="15840"/>
          <w:pgMar w:top="1380" w:right="1300" w:bottom="1000" w:left="1340" w:header="0" w:footer="804" w:gutter="0"/>
          <w:cols w:space="720"/>
        </w:sectPr>
      </w:pPr>
    </w:p>
    <w:p w14:paraId="04C062E2" w14:textId="77777777" w:rsidR="00223E8C" w:rsidRDefault="00000000">
      <w:pPr>
        <w:pStyle w:val="Heading2"/>
      </w:pPr>
      <w:r>
        <w:lastRenderedPageBreak/>
        <w:t>NDVI Analysis for 2024</w:t>
      </w:r>
    </w:p>
    <w:p w14:paraId="639E35FE" w14:textId="77777777" w:rsidR="00223E8C" w:rsidRDefault="00223E8C">
      <w:pPr>
        <w:pStyle w:val="BodyText"/>
        <w:rPr>
          <w:b/>
          <w:sz w:val="26"/>
        </w:rPr>
      </w:pPr>
    </w:p>
    <w:p w14:paraId="478A2C76" w14:textId="77777777" w:rsidR="00223E8C" w:rsidRDefault="00000000">
      <w:pPr>
        <w:spacing w:before="217"/>
        <w:ind w:left="100"/>
        <w:rPr>
          <w:i/>
          <w:sz w:val="24"/>
        </w:rPr>
      </w:pPr>
      <w:r>
        <w:rPr>
          <w:i/>
          <w:sz w:val="24"/>
        </w:rPr>
        <w:t>Fig. 6 Images for 2024</w:t>
      </w:r>
    </w:p>
    <w:p w14:paraId="1AD886E2" w14:textId="77777777" w:rsidR="00223E8C" w:rsidRDefault="00223E8C">
      <w:pPr>
        <w:pStyle w:val="BodyText"/>
        <w:rPr>
          <w:i/>
          <w:sz w:val="20"/>
        </w:rPr>
      </w:pPr>
    </w:p>
    <w:p w14:paraId="7FBB41AC" w14:textId="77777777" w:rsidR="00223E8C" w:rsidRDefault="00223E8C">
      <w:pPr>
        <w:pStyle w:val="BodyText"/>
        <w:rPr>
          <w:i/>
          <w:sz w:val="20"/>
        </w:rPr>
      </w:pPr>
    </w:p>
    <w:p w14:paraId="4DD35ED1" w14:textId="77777777" w:rsidR="00223E8C" w:rsidRDefault="00223E8C">
      <w:pPr>
        <w:pStyle w:val="BodyText"/>
        <w:rPr>
          <w:i/>
          <w:sz w:val="20"/>
        </w:rPr>
      </w:pPr>
    </w:p>
    <w:p w14:paraId="40E9512A" w14:textId="77777777" w:rsidR="00223E8C" w:rsidRDefault="00223E8C">
      <w:pPr>
        <w:pStyle w:val="BodyText"/>
        <w:rPr>
          <w:i/>
          <w:sz w:val="20"/>
        </w:rPr>
      </w:pPr>
    </w:p>
    <w:p w14:paraId="51DB9EE9" w14:textId="77777777" w:rsidR="00223E8C" w:rsidRDefault="00223E8C">
      <w:pPr>
        <w:pStyle w:val="BodyText"/>
        <w:rPr>
          <w:i/>
          <w:sz w:val="20"/>
        </w:rPr>
      </w:pPr>
    </w:p>
    <w:p w14:paraId="716C24A3" w14:textId="77777777" w:rsidR="00223E8C" w:rsidRDefault="00223E8C">
      <w:pPr>
        <w:pStyle w:val="BodyText"/>
        <w:rPr>
          <w:i/>
          <w:sz w:val="20"/>
        </w:rPr>
      </w:pPr>
    </w:p>
    <w:p w14:paraId="5CC672CE" w14:textId="77777777" w:rsidR="00223E8C" w:rsidRDefault="00223E8C">
      <w:pPr>
        <w:pStyle w:val="BodyText"/>
        <w:rPr>
          <w:i/>
          <w:sz w:val="20"/>
        </w:rPr>
      </w:pPr>
    </w:p>
    <w:p w14:paraId="442F30C3" w14:textId="77777777" w:rsidR="00223E8C" w:rsidRDefault="00223E8C">
      <w:pPr>
        <w:pStyle w:val="BodyText"/>
        <w:rPr>
          <w:i/>
          <w:sz w:val="20"/>
        </w:rPr>
      </w:pPr>
    </w:p>
    <w:p w14:paraId="616E8034" w14:textId="77777777" w:rsidR="00223E8C" w:rsidRDefault="00223E8C">
      <w:pPr>
        <w:pStyle w:val="BodyText"/>
        <w:rPr>
          <w:i/>
          <w:sz w:val="20"/>
        </w:rPr>
      </w:pPr>
    </w:p>
    <w:p w14:paraId="67394326" w14:textId="77777777" w:rsidR="00223E8C" w:rsidRDefault="00223E8C">
      <w:pPr>
        <w:pStyle w:val="BodyText"/>
        <w:rPr>
          <w:i/>
          <w:sz w:val="20"/>
        </w:rPr>
      </w:pPr>
    </w:p>
    <w:p w14:paraId="1AD1F71A" w14:textId="77777777" w:rsidR="00223E8C" w:rsidRDefault="00223E8C">
      <w:pPr>
        <w:pStyle w:val="BodyText"/>
        <w:rPr>
          <w:i/>
          <w:sz w:val="20"/>
        </w:rPr>
      </w:pPr>
    </w:p>
    <w:p w14:paraId="04016250" w14:textId="77777777" w:rsidR="00223E8C" w:rsidRDefault="00223E8C">
      <w:pPr>
        <w:pStyle w:val="BodyText"/>
        <w:rPr>
          <w:i/>
          <w:sz w:val="20"/>
        </w:rPr>
      </w:pPr>
    </w:p>
    <w:p w14:paraId="44253D93" w14:textId="77777777" w:rsidR="00223E8C" w:rsidRDefault="00223E8C">
      <w:pPr>
        <w:pStyle w:val="BodyText"/>
        <w:rPr>
          <w:i/>
          <w:sz w:val="20"/>
        </w:rPr>
      </w:pPr>
    </w:p>
    <w:p w14:paraId="63B8182D" w14:textId="77777777" w:rsidR="00223E8C" w:rsidRDefault="00223E8C">
      <w:pPr>
        <w:pStyle w:val="BodyText"/>
        <w:rPr>
          <w:i/>
          <w:sz w:val="20"/>
        </w:rPr>
      </w:pPr>
    </w:p>
    <w:p w14:paraId="28846624" w14:textId="77777777" w:rsidR="00223E8C" w:rsidRDefault="00223E8C">
      <w:pPr>
        <w:pStyle w:val="BodyText"/>
        <w:rPr>
          <w:i/>
          <w:sz w:val="20"/>
        </w:rPr>
      </w:pPr>
    </w:p>
    <w:p w14:paraId="7A4F4D37" w14:textId="77777777" w:rsidR="00223E8C" w:rsidRDefault="00223E8C">
      <w:pPr>
        <w:pStyle w:val="BodyText"/>
        <w:rPr>
          <w:i/>
          <w:sz w:val="20"/>
        </w:rPr>
      </w:pPr>
    </w:p>
    <w:p w14:paraId="4F522486" w14:textId="77777777" w:rsidR="00223E8C" w:rsidRDefault="00000000">
      <w:pPr>
        <w:pStyle w:val="BodyText"/>
        <w:tabs>
          <w:tab w:val="left" w:pos="8721"/>
        </w:tabs>
        <w:spacing w:before="212"/>
        <w:ind w:left="4825"/>
      </w:pPr>
      <w:r>
        <w:rPr>
          <w:noProof/>
        </w:rPr>
        <w:drawing>
          <wp:anchor distT="0" distB="0" distL="0" distR="0" simplePos="0" relativeHeight="15733248" behindDoc="0" locked="0" layoutInCell="1" allowOverlap="1" wp14:anchorId="5734899E" wp14:editId="159047BF">
            <wp:simplePos x="0" y="0"/>
            <wp:positionH relativeFrom="page">
              <wp:posOffset>982628</wp:posOffset>
            </wp:positionH>
            <wp:positionV relativeFrom="paragraph">
              <wp:posOffset>-1782421</wp:posOffset>
            </wp:positionV>
            <wp:extent cx="2866811" cy="2041954"/>
            <wp:effectExtent l="0" t="0" r="0" b="0"/>
            <wp:wrapNone/>
            <wp:docPr id="15"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0.jpeg"/>
                    <pic:cNvPicPr/>
                  </pic:nvPicPr>
                  <pic:blipFill>
                    <a:blip r:embed="rId17" cstate="print"/>
                    <a:stretch>
                      <a:fillRect/>
                    </a:stretch>
                  </pic:blipFill>
                  <pic:spPr>
                    <a:xfrm>
                      <a:off x="0" y="0"/>
                      <a:ext cx="2866811" cy="2041954"/>
                    </a:xfrm>
                    <a:prstGeom prst="rect">
                      <a:avLst/>
                    </a:prstGeom>
                  </pic:spPr>
                </pic:pic>
              </a:graphicData>
            </a:graphic>
          </wp:anchor>
        </w:drawing>
      </w:r>
      <w:r>
        <w:rPr>
          <w:noProof/>
        </w:rPr>
        <w:drawing>
          <wp:anchor distT="0" distB="0" distL="0" distR="0" simplePos="0" relativeHeight="487361536" behindDoc="1" locked="0" layoutInCell="1" allowOverlap="1" wp14:anchorId="5B1D1997" wp14:editId="066BA055">
            <wp:simplePos x="0" y="0"/>
            <wp:positionH relativeFrom="page">
              <wp:posOffset>4133194</wp:posOffset>
            </wp:positionH>
            <wp:positionV relativeFrom="paragraph">
              <wp:posOffset>-1933376</wp:posOffset>
            </wp:positionV>
            <wp:extent cx="2236724" cy="2183828"/>
            <wp:effectExtent l="0" t="0" r="0" b="0"/>
            <wp:wrapNone/>
            <wp:docPr id="17"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1.jpeg"/>
                    <pic:cNvPicPr/>
                  </pic:nvPicPr>
                  <pic:blipFill>
                    <a:blip r:embed="rId18" cstate="print"/>
                    <a:stretch>
                      <a:fillRect/>
                    </a:stretch>
                  </pic:blipFill>
                  <pic:spPr>
                    <a:xfrm>
                      <a:off x="0" y="0"/>
                      <a:ext cx="2236724" cy="2183828"/>
                    </a:xfrm>
                    <a:prstGeom prst="rect">
                      <a:avLst/>
                    </a:prstGeom>
                  </pic:spPr>
                </pic:pic>
              </a:graphicData>
            </a:graphic>
          </wp:anchor>
        </w:drawing>
      </w:r>
      <w:r>
        <w:t>(a)</w:t>
      </w:r>
      <w:r>
        <w:tab/>
        <w:t>(b)</w:t>
      </w:r>
    </w:p>
    <w:p w14:paraId="1D50181A" w14:textId="77777777" w:rsidR="00223E8C" w:rsidRDefault="00223E8C">
      <w:pPr>
        <w:pStyle w:val="BodyText"/>
        <w:spacing w:before="2"/>
        <w:rPr>
          <w:sz w:val="16"/>
        </w:rPr>
      </w:pPr>
    </w:p>
    <w:p w14:paraId="24B954BF" w14:textId="77777777" w:rsidR="00223E8C" w:rsidRDefault="00000000">
      <w:pPr>
        <w:pStyle w:val="BodyText"/>
        <w:spacing w:before="90" w:line="480" w:lineRule="auto"/>
        <w:ind w:left="100" w:right="138"/>
        <w:jc w:val="both"/>
      </w:pPr>
      <w:r>
        <w:t>The NDVI analysis for Obuasi from 1990 to 2024 indicates significant changes in vegetation</w:t>
      </w:r>
      <w:r>
        <w:rPr>
          <w:spacing w:val="1"/>
        </w:rPr>
        <w:t xml:space="preserve"> </w:t>
      </w:r>
      <w:r>
        <w:t>cover</w:t>
      </w:r>
      <w:r>
        <w:rPr>
          <w:spacing w:val="15"/>
        </w:rPr>
        <w:t xml:space="preserve"> </w:t>
      </w:r>
      <w:r>
        <w:t>over</w:t>
      </w:r>
      <w:r>
        <w:rPr>
          <w:spacing w:val="15"/>
        </w:rPr>
        <w:t xml:space="preserve"> </w:t>
      </w:r>
      <w:r>
        <w:t>the</w:t>
      </w:r>
      <w:r>
        <w:rPr>
          <w:spacing w:val="15"/>
        </w:rPr>
        <w:t xml:space="preserve"> </w:t>
      </w:r>
      <w:r>
        <w:t>decades. The 2024 NDVI map shows areas with low (NDVI &lt; 0.1), moderate (0.1</w:t>
      </w:r>
    </w:p>
    <w:p w14:paraId="74F4D8CF" w14:textId="77777777" w:rsidR="00223E8C" w:rsidRDefault="00000000">
      <w:pPr>
        <w:pStyle w:val="BodyText"/>
        <w:spacing w:line="480" w:lineRule="auto"/>
        <w:ind w:left="100" w:right="141"/>
        <w:jc w:val="both"/>
      </w:pPr>
      <w:r>
        <w:t>≤ NDVI ≤ 0.3), and high vegetation (NDVI &gt; 0.3). The accompanying histogram reveals a peak</w:t>
      </w:r>
      <w:r>
        <w:rPr>
          <w:spacing w:val="1"/>
        </w:rPr>
        <w:t xml:space="preserve"> </w:t>
      </w:r>
      <w:r>
        <w:t>NDVI</w:t>
      </w:r>
      <w:r>
        <w:rPr>
          <w:spacing w:val="1"/>
        </w:rPr>
        <w:t xml:space="preserve"> </w:t>
      </w:r>
      <w:r>
        <w:t>value</w:t>
      </w:r>
      <w:r>
        <w:rPr>
          <w:spacing w:val="1"/>
        </w:rPr>
        <w:t xml:space="preserve"> </w:t>
      </w:r>
      <w:r>
        <w:t>around</w:t>
      </w:r>
      <w:r>
        <w:rPr>
          <w:spacing w:val="1"/>
        </w:rPr>
        <w:t xml:space="preserve"> </w:t>
      </w:r>
      <w:r>
        <w:t>0.1,</w:t>
      </w:r>
      <w:r>
        <w:rPr>
          <w:spacing w:val="1"/>
        </w:rPr>
        <w:t xml:space="preserve"> </w:t>
      </w:r>
      <w:r>
        <w:t>indicating</w:t>
      </w:r>
      <w:r>
        <w:rPr>
          <w:spacing w:val="1"/>
        </w:rPr>
        <w:t xml:space="preserve"> </w:t>
      </w:r>
      <w:r>
        <w:t>a</w:t>
      </w:r>
      <w:r>
        <w:rPr>
          <w:spacing w:val="1"/>
        </w:rPr>
        <w:t xml:space="preserve"> </w:t>
      </w:r>
      <w:r>
        <w:t>preponderance</w:t>
      </w:r>
      <w:r>
        <w:rPr>
          <w:spacing w:val="1"/>
        </w:rPr>
        <w:t xml:space="preserve"> </w:t>
      </w:r>
      <w:r>
        <w:t>of</w:t>
      </w:r>
      <w:r>
        <w:rPr>
          <w:spacing w:val="1"/>
        </w:rPr>
        <w:t xml:space="preserve"> </w:t>
      </w:r>
      <w:r>
        <w:t>moderate</w:t>
      </w:r>
      <w:r>
        <w:rPr>
          <w:spacing w:val="1"/>
        </w:rPr>
        <w:t xml:space="preserve"> </w:t>
      </w:r>
      <w:r>
        <w:t>vegetation</w:t>
      </w:r>
      <w:r>
        <w:rPr>
          <w:spacing w:val="1"/>
        </w:rPr>
        <w:t xml:space="preserve"> </w:t>
      </w:r>
      <w:r>
        <w:t>with</w:t>
      </w:r>
      <w:r>
        <w:rPr>
          <w:spacing w:val="1"/>
        </w:rPr>
        <w:t xml:space="preserve"> </w:t>
      </w:r>
      <w:r>
        <w:t>notable</w:t>
      </w:r>
      <w:r>
        <w:rPr>
          <w:spacing w:val="1"/>
        </w:rPr>
        <w:t xml:space="preserve"> </w:t>
      </w:r>
      <w:r>
        <w:t>frequencies</w:t>
      </w:r>
      <w:r>
        <w:rPr>
          <w:spacing w:val="1"/>
        </w:rPr>
        <w:t xml:space="preserve"> </w:t>
      </w:r>
      <w:r>
        <w:t>up</w:t>
      </w:r>
      <w:r>
        <w:rPr>
          <w:spacing w:val="1"/>
        </w:rPr>
        <w:t xml:space="preserve"> </w:t>
      </w:r>
      <w:r>
        <w:t>to</w:t>
      </w:r>
      <w:r>
        <w:rPr>
          <w:spacing w:val="1"/>
        </w:rPr>
        <w:t xml:space="preserve"> </w:t>
      </w:r>
      <w:r>
        <w:t>0.2.</w:t>
      </w:r>
      <w:r>
        <w:rPr>
          <w:spacing w:val="1"/>
        </w:rPr>
        <w:t xml:space="preserve"> </w:t>
      </w:r>
      <w:r>
        <w:t>When</w:t>
      </w:r>
      <w:r>
        <w:rPr>
          <w:spacing w:val="1"/>
        </w:rPr>
        <w:t xml:space="preserve"> </w:t>
      </w:r>
      <w:r>
        <w:t>compared</w:t>
      </w:r>
      <w:r>
        <w:rPr>
          <w:spacing w:val="1"/>
        </w:rPr>
        <w:t xml:space="preserve"> </w:t>
      </w:r>
      <w:r>
        <w:t>to</w:t>
      </w:r>
      <w:r>
        <w:rPr>
          <w:spacing w:val="1"/>
        </w:rPr>
        <w:t xml:space="preserve"> </w:t>
      </w:r>
      <w:r>
        <w:t>earlier</w:t>
      </w:r>
      <w:r>
        <w:rPr>
          <w:spacing w:val="1"/>
        </w:rPr>
        <w:t xml:space="preserve"> </w:t>
      </w:r>
      <w:r>
        <w:t>years,</w:t>
      </w:r>
      <w:r>
        <w:rPr>
          <w:spacing w:val="1"/>
        </w:rPr>
        <w:t xml:space="preserve"> </w:t>
      </w:r>
      <w:r>
        <w:t>a</w:t>
      </w:r>
      <w:r>
        <w:rPr>
          <w:spacing w:val="1"/>
        </w:rPr>
        <w:t xml:space="preserve"> </w:t>
      </w:r>
      <w:r>
        <w:t>clear</w:t>
      </w:r>
      <w:r>
        <w:rPr>
          <w:spacing w:val="1"/>
        </w:rPr>
        <w:t xml:space="preserve"> </w:t>
      </w:r>
      <w:r>
        <w:t>trend</w:t>
      </w:r>
      <w:r>
        <w:rPr>
          <w:spacing w:val="1"/>
        </w:rPr>
        <w:t xml:space="preserve"> </w:t>
      </w:r>
      <w:r>
        <w:t>of</w:t>
      </w:r>
      <w:r>
        <w:rPr>
          <w:spacing w:val="1"/>
        </w:rPr>
        <w:t xml:space="preserve"> </w:t>
      </w:r>
      <w:r>
        <w:t>decreasing</w:t>
      </w:r>
      <w:r>
        <w:rPr>
          <w:spacing w:val="60"/>
        </w:rPr>
        <w:t xml:space="preserve"> </w:t>
      </w:r>
      <w:r>
        <w:t>high</w:t>
      </w:r>
      <w:r>
        <w:rPr>
          <w:spacing w:val="1"/>
        </w:rPr>
        <w:t xml:space="preserve"> </w:t>
      </w:r>
      <w:r>
        <w:t>vegetation areas and increasing low vegetation areas can be observed. The 1990 data showed a</w:t>
      </w:r>
      <w:r>
        <w:rPr>
          <w:spacing w:val="1"/>
        </w:rPr>
        <w:t xml:space="preserve"> </w:t>
      </w:r>
      <w:r>
        <w:t>more balanced distribution of vegetation, with higher frequencies of dense vegetation, whereas</w:t>
      </w:r>
      <w:r>
        <w:rPr>
          <w:spacing w:val="1"/>
        </w:rPr>
        <w:t xml:space="preserve"> </w:t>
      </w:r>
      <w:r>
        <w:t>the</w:t>
      </w:r>
      <w:r>
        <w:rPr>
          <w:spacing w:val="1"/>
        </w:rPr>
        <w:t xml:space="preserve"> </w:t>
      </w:r>
      <w:r>
        <w:t>previous</w:t>
      </w:r>
      <w:r>
        <w:rPr>
          <w:spacing w:val="1"/>
        </w:rPr>
        <w:t xml:space="preserve"> </w:t>
      </w:r>
      <w:r>
        <w:t>data</w:t>
      </w:r>
      <w:r>
        <w:rPr>
          <w:spacing w:val="1"/>
        </w:rPr>
        <w:t xml:space="preserve"> </w:t>
      </w:r>
      <w:r>
        <w:t>indicated</w:t>
      </w:r>
      <w:r>
        <w:rPr>
          <w:spacing w:val="1"/>
        </w:rPr>
        <w:t xml:space="preserve"> </w:t>
      </w:r>
      <w:r>
        <w:t>a</w:t>
      </w:r>
      <w:r>
        <w:rPr>
          <w:spacing w:val="1"/>
        </w:rPr>
        <w:t xml:space="preserve"> </w:t>
      </w:r>
      <w:r>
        <w:t>shift towards lower NDVI values. This suggests a continuous</w:t>
      </w:r>
      <w:r>
        <w:rPr>
          <w:spacing w:val="1"/>
        </w:rPr>
        <w:t xml:space="preserve"> </w:t>
      </w:r>
      <w:r>
        <w:t>decline in dense vegetation and an increase in areas with sparse vegetation. The pattern in 2020</w:t>
      </w:r>
      <w:r>
        <w:rPr>
          <w:spacing w:val="1"/>
        </w:rPr>
        <w:t xml:space="preserve"> </w:t>
      </w:r>
      <w:r>
        <w:t>continued this trend with an even lower frequency of high NDVI values and a shift towards</w:t>
      </w:r>
      <w:r>
        <w:rPr>
          <w:spacing w:val="1"/>
        </w:rPr>
        <w:t xml:space="preserve"> </w:t>
      </w:r>
      <w:r>
        <w:t>moderate vegetation. By 2024, the data highlights an ongoing degradation of dense vegetation</w:t>
      </w:r>
      <w:r>
        <w:rPr>
          <w:spacing w:val="1"/>
        </w:rPr>
        <w:t xml:space="preserve"> </w:t>
      </w:r>
      <w:r>
        <w:t>areas,</w:t>
      </w:r>
      <w:r>
        <w:rPr>
          <w:spacing w:val="29"/>
        </w:rPr>
        <w:t xml:space="preserve"> </w:t>
      </w:r>
      <w:r>
        <w:t>affirming</w:t>
      </w:r>
      <w:r>
        <w:rPr>
          <w:spacing w:val="30"/>
        </w:rPr>
        <w:t xml:space="preserve"> </w:t>
      </w:r>
      <w:r>
        <w:t>a</w:t>
      </w:r>
      <w:r>
        <w:rPr>
          <w:spacing w:val="29"/>
        </w:rPr>
        <w:t xml:space="preserve"> </w:t>
      </w:r>
      <w:r>
        <w:t>long-term</w:t>
      </w:r>
      <w:r>
        <w:rPr>
          <w:spacing w:val="30"/>
        </w:rPr>
        <w:t xml:space="preserve"> </w:t>
      </w:r>
      <w:r>
        <w:t>decline</w:t>
      </w:r>
      <w:r>
        <w:rPr>
          <w:spacing w:val="30"/>
        </w:rPr>
        <w:t xml:space="preserve"> </w:t>
      </w:r>
      <w:r>
        <w:t>in</w:t>
      </w:r>
      <w:r>
        <w:rPr>
          <w:spacing w:val="29"/>
        </w:rPr>
        <w:t xml:space="preserve"> </w:t>
      </w:r>
      <w:r>
        <w:t>vegetation</w:t>
      </w:r>
      <w:r>
        <w:rPr>
          <w:spacing w:val="30"/>
        </w:rPr>
        <w:t xml:space="preserve"> </w:t>
      </w:r>
      <w:r>
        <w:t>health</w:t>
      </w:r>
      <w:r>
        <w:rPr>
          <w:spacing w:val="29"/>
        </w:rPr>
        <w:t xml:space="preserve"> </w:t>
      </w:r>
      <w:r>
        <w:t>in</w:t>
      </w:r>
      <w:r>
        <w:rPr>
          <w:spacing w:val="30"/>
        </w:rPr>
        <w:t xml:space="preserve"> </w:t>
      </w:r>
      <w:r>
        <w:t>Obuasi,</w:t>
      </w:r>
      <w:r>
        <w:rPr>
          <w:spacing w:val="30"/>
        </w:rPr>
        <w:t xml:space="preserve"> </w:t>
      </w:r>
      <w:r>
        <w:t>likely</w:t>
      </w:r>
      <w:r>
        <w:rPr>
          <w:spacing w:val="29"/>
        </w:rPr>
        <w:t xml:space="preserve"> </w:t>
      </w:r>
      <w:r>
        <w:t>due</w:t>
      </w:r>
      <w:r>
        <w:rPr>
          <w:spacing w:val="30"/>
        </w:rPr>
        <w:t xml:space="preserve"> </w:t>
      </w:r>
      <w:r>
        <w:t>to</w:t>
      </w:r>
      <w:r>
        <w:rPr>
          <w:spacing w:val="30"/>
        </w:rPr>
        <w:t xml:space="preserve"> </w:t>
      </w:r>
      <w:r>
        <w:t>urbanization</w:t>
      </w:r>
      <w:r>
        <w:rPr>
          <w:spacing w:val="-58"/>
        </w:rPr>
        <w:t xml:space="preserve"> </w:t>
      </w:r>
      <w:r>
        <w:t>and other anthropogenic activities.</w:t>
      </w:r>
    </w:p>
    <w:p w14:paraId="702E6A98" w14:textId="77777777" w:rsidR="00223E8C" w:rsidRDefault="00223E8C">
      <w:pPr>
        <w:spacing w:line="480" w:lineRule="auto"/>
        <w:jc w:val="both"/>
        <w:sectPr w:rsidR="00223E8C">
          <w:pgSz w:w="12240" w:h="15840"/>
          <w:pgMar w:top="1380" w:right="1300" w:bottom="1000" w:left="1340" w:header="0" w:footer="804" w:gutter="0"/>
          <w:cols w:space="720"/>
        </w:sectPr>
      </w:pPr>
    </w:p>
    <w:p w14:paraId="3FBC2A8D" w14:textId="77777777" w:rsidR="00223E8C" w:rsidRDefault="00000000">
      <w:pPr>
        <w:pStyle w:val="Heading1"/>
        <w:spacing w:before="60"/>
      </w:pPr>
      <w:r>
        <w:lastRenderedPageBreak/>
        <w:t>Discussion</w:t>
      </w:r>
    </w:p>
    <w:p w14:paraId="30B93B44" w14:textId="77777777" w:rsidR="00223E8C" w:rsidRDefault="00223E8C">
      <w:pPr>
        <w:pStyle w:val="BodyText"/>
        <w:rPr>
          <w:b/>
          <w:sz w:val="28"/>
        </w:rPr>
      </w:pPr>
    </w:p>
    <w:p w14:paraId="4D236396" w14:textId="77777777" w:rsidR="00223E8C" w:rsidRDefault="00000000">
      <w:pPr>
        <w:pStyle w:val="BodyText"/>
        <w:spacing w:before="217" w:line="480" w:lineRule="auto"/>
        <w:ind w:left="100" w:right="138"/>
        <w:jc w:val="both"/>
      </w:pPr>
      <w:r>
        <w:t>The NDVI analysis for Obuasi from 1990 to 2024 indicates significant changes in vegetation</w:t>
      </w:r>
      <w:r>
        <w:rPr>
          <w:spacing w:val="1"/>
        </w:rPr>
        <w:t xml:space="preserve"> </w:t>
      </w:r>
      <w:r>
        <w:t>cover, with a noticeable decline in vegetation health over the decades. Initially, in 1990, Obuasi</w:t>
      </w:r>
      <w:r>
        <w:rPr>
          <w:spacing w:val="1"/>
        </w:rPr>
        <w:t xml:space="preserve"> </w:t>
      </w:r>
      <w:r>
        <w:t>was characterized by robust and dense vegetation. However, by 2000, there were clear signs of</w:t>
      </w:r>
      <w:r>
        <w:rPr>
          <w:spacing w:val="1"/>
        </w:rPr>
        <w:t xml:space="preserve"> </w:t>
      </w:r>
      <w:r>
        <w:t>degradation,</w:t>
      </w:r>
      <w:r>
        <w:rPr>
          <w:spacing w:val="1"/>
        </w:rPr>
        <w:t xml:space="preserve"> </w:t>
      </w:r>
      <w:r>
        <w:t>with</w:t>
      </w:r>
      <w:r>
        <w:rPr>
          <w:spacing w:val="1"/>
        </w:rPr>
        <w:t xml:space="preserve"> </w:t>
      </w:r>
      <w:r>
        <w:t>a</w:t>
      </w:r>
      <w:r>
        <w:rPr>
          <w:spacing w:val="1"/>
        </w:rPr>
        <w:t xml:space="preserve"> </w:t>
      </w:r>
      <w:r>
        <w:t>shift</w:t>
      </w:r>
      <w:r>
        <w:rPr>
          <w:spacing w:val="1"/>
        </w:rPr>
        <w:t xml:space="preserve"> </w:t>
      </w:r>
      <w:r>
        <w:t>from</w:t>
      </w:r>
      <w:r>
        <w:rPr>
          <w:spacing w:val="1"/>
        </w:rPr>
        <w:t xml:space="preserve"> </w:t>
      </w:r>
      <w:r>
        <w:t>high-density</w:t>
      </w:r>
      <w:r>
        <w:rPr>
          <w:spacing w:val="1"/>
        </w:rPr>
        <w:t xml:space="preserve"> </w:t>
      </w:r>
      <w:r>
        <w:t>vegetation</w:t>
      </w:r>
      <w:r>
        <w:rPr>
          <w:spacing w:val="1"/>
        </w:rPr>
        <w:t xml:space="preserve"> </w:t>
      </w:r>
      <w:r>
        <w:t>to</w:t>
      </w:r>
      <w:r>
        <w:rPr>
          <w:spacing w:val="1"/>
        </w:rPr>
        <w:t xml:space="preserve"> </w:t>
      </w:r>
      <w:r>
        <w:t>more</w:t>
      </w:r>
      <w:r>
        <w:rPr>
          <w:spacing w:val="1"/>
        </w:rPr>
        <w:t xml:space="preserve"> </w:t>
      </w:r>
      <w:r>
        <w:t>moderate</w:t>
      </w:r>
      <w:r>
        <w:rPr>
          <w:spacing w:val="1"/>
        </w:rPr>
        <w:t xml:space="preserve"> </w:t>
      </w:r>
      <w:r>
        <w:t>and</w:t>
      </w:r>
      <w:r>
        <w:rPr>
          <w:spacing w:val="1"/>
        </w:rPr>
        <w:t xml:space="preserve"> </w:t>
      </w:r>
      <w:r>
        <w:t>low-density</w:t>
      </w:r>
      <w:r>
        <w:rPr>
          <w:spacing w:val="1"/>
        </w:rPr>
        <w:t xml:space="preserve"> </w:t>
      </w:r>
      <w:r>
        <w:t>vegetation</w:t>
      </w:r>
      <w:r>
        <w:rPr>
          <w:spacing w:val="1"/>
        </w:rPr>
        <w:t xml:space="preserve"> </w:t>
      </w:r>
      <w:r>
        <w:t>areas.</w:t>
      </w:r>
      <w:r>
        <w:rPr>
          <w:spacing w:val="1"/>
        </w:rPr>
        <w:t xml:space="preserve"> </w:t>
      </w:r>
      <w:r>
        <w:t>This</w:t>
      </w:r>
      <w:r>
        <w:rPr>
          <w:spacing w:val="1"/>
        </w:rPr>
        <w:t xml:space="preserve"> </w:t>
      </w:r>
      <w:r>
        <w:t>trend continued through 2010, 2020, and 2024, revealing a persistent</w:t>
      </w:r>
      <w:r>
        <w:rPr>
          <w:spacing w:val="1"/>
        </w:rPr>
        <w:t xml:space="preserve"> </w:t>
      </w:r>
      <w:r>
        <w:t>decline in dense vegetation and an increase in sparsely vegetated areas.</w:t>
      </w:r>
    </w:p>
    <w:p w14:paraId="61B0610F" w14:textId="77777777" w:rsidR="00223E8C" w:rsidRDefault="00223E8C">
      <w:pPr>
        <w:pStyle w:val="BodyText"/>
        <w:spacing w:before="10"/>
        <w:rPr>
          <w:sz w:val="20"/>
        </w:rPr>
      </w:pPr>
    </w:p>
    <w:p w14:paraId="4688680C" w14:textId="77777777" w:rsidR="00223E8C" w:rsidRDefault="00000000">
      <w:pPr>
        <w:pStyle w:val="BodyText"/>
        <w:spacing w:line="480" w:lineRule="auto"/>
        <w:ind w:left="100" w:right="138"/>
        <w:jc w:val="both"/>
      </w:pPr>
      <w:r>
        <w:t>Several key findings stand out from this analysis. Firstly, the central and northern regions, which</w:t>
      </w:r>
      <w:r>
        <w:rPr>
          <w:spacing w:val="1"/>
        </w:rPr>
        <w:t xml:space="preserve"> </w:t>
      </w:r>
      <w:r>
        <w:t>initially had high vegetation density, showed significant reduction over time. By 2024, these</w:t>
      </w:r>
      <w:r>
        <w:rPr>
          <w:spacing w:val="1"/>
        </w:rPr>
        <w:t xml:space="preserve"> </w:t>
      </w:r>
      <w:r>
        <w:t>areas</w:t>
      </w:r>
      <w:r>
        <w:rPr>
          <w:spacing w:val="1"/>
        </w:rPr>
        <w:t xml:space="preserve"> </w:t>
      </w:r>
      <w:r>
        <w:t>exhibited</w:t>
      </w:r>
      <w:r>
        <w:rPr>
          <w:spacing w:val="1"/>
        </w:rPr>
        <w:t xml:space="preserve"> </w:t>
      </w:r>
      <w:r>
        <w:t>a</w:t>
      </w:r>
      <w:r>
        <w:rPr>
          <w:spacing w:val="1"/>
        </w:rPr>
        <w:t xml:space="preserve"> </w:t>
      </w:r>
      <w:r>
        <w:t>marked</w:t>
      </w:r>
      <w:r>
        <w:rPr>
          <w:spacing w:val="1"/>
        </w:rPr>
        <w:t xml:space="preserve"> </w:t>
      </w:r>
      <w:r>
        <w:t>decrease</w:t>
      </w:r>
      <w:r>
        <w:rPr>
          <w:spacing w:val="1"/>
        </w:rPr>
        <w:t xml:space="preserve"> </w:t>
      </w:r>
      <w:r>
        <w:t>in</w:t>
      </w:r>
      <w:r>
        <w:rPr>
          <w:spacing w:val="1"/>
        </w:rPr>
        <w:t xml:space="preserve"> </w:t>
      </w:r>
      <w:r>
        <w:t>high-density</w:t>
      </w:r>
      <w:r>
        <w:rPr>
          <w:spacing w:val="1"/>
        </w:rPr>
        <w:t xml:space="preserve"> </w:t>
      </w:r>
      <w:r>
        <w:t>vegetation,</w:t>
      </w:r>
      <w:r>
        <w:rPr>
          <w:spacing w:val="1"/>
        </w:rPr>
        <w:t xml:space="preserve"> </w:t>
      </w:r>
      <w:r>
        <w:t>highlighting</w:t>
      </w:r>
      <w:r>
        <w:rPr>
          <w:spacing w:val="1"/>
        </w:rPr>
        <w:t xml:space="preserve"> </w:t>
      </w:r>
      <w:r>
        <w:t>ongoing</w:t>
      </w:r>
      <w:r>
        <w:rPr>
          <w:spacing w:val="1"/>
        </w:rPr>
        <w:t xml:space="preserve"> </w:t>
      </w:r>
      <w:r>
        <w:t>environmental</w:t>
      </w:r>
      <w:r>
        <w:rPr>
          <w:spacing w:val="1"/>
        </w:rPr>
        <w:t xml:space="preserve"> </w:t>
      </w:r>
      <w:r>
        <w:t>degradation.</w:t>
      </w:r>
      <w:r>
        <w:rPr>
          <w:spacing w:val="1"/>
        </w:rPr>
        <w:t xml:space="preserve"> </w:t>
      </w:r>
      <w:r>
        <w:t>Secondly,</w:t>
      </w:r>
      <w:r>
        <w:rPr>
          <w:spacing w:val="1"/>
        </w:rPr>
        <w:t xml:space="preserve"> </w:t>
      </w:r>
      <w:r>
        <w:t>the</w:t>
      </w:r>
      <w:r>
        <w:rPr>
          <w:spacing w:val="1"/>
        </w:rPr>
        <w:t xml:space="preserve"> </w:t>
      </w:r>
      <w:r>
        <w:t>increase</w:t>
      </w:r>
      <w:r>
        <w:rPr>
          <w:spacing w:val="1"/>
        </w:rPr>
        <w:t xml:space="preserve"> </w:t>
      </w:r>
      <w:r>
        <w:t>in</w:t>
      </w:r>
      <w:r>
        <w:rPr>
          <w:spacing w:val="1"/>
        </w:rPr>
        <w:t xml:space="preserve"> </w:t>
      </w:r>
      <w:r>
        <w:t>low</w:t>
      </w:r>
      <w:r>
        <w:rPr>
          <w:spacing w:val="1"/>
        </w:rPr>
        <w:t xml:space="preserve"> </w:t>
      </w:r>
      <w:r>
        <w:t>vegetation</w:t>
      </w:r>
      <w:r>
        <w:rPr>
          <w:spacing w:val="1"/>
        </w:rPr>
        <w:t xml:space="preserve"> </w:t>
      </w:r>
      <w:r>
        <w:t>areas,</w:t>
      </w:r>
      <w:r>
        <w:rPr>
          <w:spacing w:val="60"/>
        </w:rPr>
        <w:t xml:space="preserve"> </w:t>
      </w:r>
      <w:r>
        <w:t>particularly</w:t>
      </w:r>
      <w:r>
        <w:rPr>
          <w:spacing w:val="1"/>
        </w:rPr>
        <w:t xml:space="preserve"> </w:t>
      </w:r>
      <w:r>
        <w:t>noticeable</w:t>
      </w:r>
      <w:r>
        <w:rPr>
          <w:spacing w:val="1"/>
        </w:rPr>
        <w:t xml:space="preserve"> </w:t>
      </w:r>
      <w:r>
        <w:t>from</w:t>
      </w:r>
      <w:r>
        <w:rPr>
          <w:spacing w:val="1"/>
        </w:rPr>
        <w:t xml:space="preserve"> </w:t>
      </w:r>
      <w:r>
        <w:t>2000</w:t>
      </w:r>
      <w:r>
        <w:rPr>
          <w:spacing w:val="1"/>
        </w:rPr>
        <w:t xml:space="preserve"> </w:t>
      </w:r>
      <w:r>
        <w:t>onwards,</w:t>
      </w:r>
      <w:r>
        <w:rPr>
          <w:spacing w:val="1"/>
        </w:rPr>
        <w:t xml:space="preserve"> </w:t>
      </w:r>
      <w:r>
        <w:t>suggests</w:t>
      </w:r>
      <w:r>
        <w:rPr>
          <w:spacing w:val="1"/>
        </w:rPr>
        <w:t xml:space="preserve"> </w:t>
      </w:r>
      <w:r>
        <w:t>substantial</w:t>
      </w:r>
      <w:r>
        <w:rPr>
          <w:spacing w:val="1"/>
        </w:rPr>
        <w:t xml:space="preserve"> </w:t>
      </w:r>
      <w:r>
        <w:t>land-use</w:t>
      </w:r>
      <w:r>
        <w:rPr>
          <w:spacing w:val="1"/>
        </w:rPr>
        <w:t xml:space="preserve"> </w:t>
      </w:r>
      <w:r>
        <w:t>changes</w:t>
      </w:r>
      <w:r>
        <w:rPr>
          <w:spacing w:val="1"/>
        </w:rPr>
        <w:t xml:space="preserve"> </w:t>
      </w:r>
      <w:r>
        <w:t>and</w:t>
      </w:r>
      <w:r>
        <w:rPr>
          <w:spacing w:val="60"/>
        </w:rPr>
        <w:t xml:space="preserve"> </w:t>
      </w:r>
      <w:r>
        <w:t>environmental</w:t>
      </w:r>
      <w:r>
        <w:rPr>
          <w:spacing w:val="1"/>
        </w:rPr>
        <w:t xml:space="preserve"> </w:t>
      </w:r>
      <w:r>
        <w:t>stressors impacting vegetation health.</w:t>
      </w:r>
    </w:p>
    <w:p w14:paraId="7A0C67E7" w14:textId="77777777" w:rsidR="00223E8C" w:rsidRDefault="00223E8C">
      <w:pPr>
        <w:pStyle w:val="BodyText"/>
        <w:spacing w:before="10"/>
        <w:rPr>
          <w:sz w:val="20"/>
        </w:rPr>
      </w:pPr>
    </w:p>
    <w:p w14:paraId="48FAF710" w14:textId="77777777" w:rsidR="00223E8C" w:rsidRDefault="00000000">
      <w:pPr>
        <w:pStyle w:val="BodyText"/>
        <w:spacing w:line="480" w:lineRule="auto"/>
        <w:ind w:left="100" w:right="140"/>
        <w:jc w:val="both"/>
      </w:pPr>
      <w:r>
        <w:t>The</w:t>
      </w:r>
      <w:r>
        <w:rPr>
          <w:spacing w:val="1"/>
        </w:rPr>
        <w:t xml:space="preserve"> </w:t>
      </w:r>
      <w:r>
        <w:t>primary</w:t>
      </w:r>
      <w:r>
        <w:rPr>
          <w:spacing w:val="1"/>
        </w:rPr>
        <w:t xml:space="preserve"> </w:t>
      </w:r>
      <w:r>
        <w:t>causes</w:t>
      </w:r>
      <w:r>
        <w:rPr>
          <w:spacing w:val="1"/>
        </w:rPr>
        <w:t xml:space="preserve"> </w:t>
      </w:r>
      <w:r>
        <w:t>of</w:t>
      </w:r>
      <w:r>
        <w:rPr>
          <w:spacing w:val="1"/>
        </w:rPr>
        <w:t xml:space="preserve"> </w:t>
      </w:r>
      <w:r>
        <w:t>this vegetation decline can be attributed to urbanization, agricultural</w:t>
      </w:r>
      <w:r>
        <w:rPr>
          <w:spacing w:val="1"/>
        </w:rPr>
        <w:t xml:space="preserve"> </w:t>
      </w:r>
      <w:r>
        <w:t>expansion,</w:t>
      </w:r>
      <w:r>
        <w:rPr>
          <w:spacing w:val="1"/>
        </w:rPr>
        <w:t xml:space="preserve"> </w:t>
      </w:r>
      <w:r>
        <w:t>and</w:t>
      </w:r>
      <w:r>
        <w:rPr>
          <w:spacing w:val="1"/>
        </w:rPr>
        <w:t xml:space="preserve"> </w:t>
      </w:r>
      <w:r>
        <w:t>especially</w:t>
      </w:r>
      <w:r>
        <w:rPr>
          <w:spacing w:val="1"/>
        </w:rPr>
        <w:t xml:space="preserve"> </w:t>
      </w:r>
      <w:r>
        <w:t>mining</w:t>
      </w:r>
      <w:r>
        <w:rPr>
          <w:spacing w:val="1"/>
        </w:rPr>
        <w:t xml:space="preserve"> </w:t>
      </w:r>
      <w:r>
        <w:t>activities.</w:t>
      </w:r>
      <w:r>
        <w:rPr>
          <w:spacing w:val="1"/>
        </w:rPr>
        <w:t xml:space="preserve"> </w:t>
      </w:r>
      <w:r>
        <w:t>Obuasi,</w:t>
      </w:r>
      <w:r>
        <w:rPr>
          <w:spacing w:val="1"/>
        </w:rPr>
        <w:t xml:space="preserve"> </w:t>
      </w:r>
      <w:r>
        <w:t>known</w:t>
      </w:r>
      <w:r>
        <w:rPr>
          <w:spacing w:val="1"/>
        </w:rPr>
        <w:t xml:space="preserve"> </w:t>
      </w:r>
      <w:r>
        <w:t>for</w:t>
      </w:r>
      <w:r>
        <w:rPr>
          <w:spacing w:val="1"/>
        </w:rPr>
        <w:t xml:space="preserve"> </w:t>
      </w:r>
      <w:r>
        <w:t>its</w:t>
      </w:r>
      <w:r>
        <w:rPr>
          <w:spacing w:val="1"/>
        </w:rPr>
        <w:t xml:space="preserve"> </w:t>
      </w:r>
      <w:r>
        <w:t>gold</w:t>
      </w:r>
      <w:r>
        <w:rPr>
          <w:spacing w:val="1"/>
        </w:rPr>
        <w:t xml:space="preserve"> </w:t>
      </w:r>
      <w:r>
        <w:t>mines,</w:t>
      </w:r>
      <w:r>
        <w:rPr>
          <w:spacing w:val="1"/>
        </w:rPr>
        <w:t xml:space="preserve"> </w:t>
      </w:r>
      <w:r>
        <w:t>has</w:t>
      </w:r>
      <w:r>
        <w:rPr>
          <w:spacing w:val="1"/>
        </w:rPr>
        <w:t xml:space="preserve"> </w:t>
      </w:r>
      <w:r>
        <w:t>seen</w:t>
      </w:r>
      <w:r>
        <w:rPr>
          <w:spacing w:val="1"/>
        </w:rPr>
        <w:t xml:space="preserve"> </w:t>
      </w:r>
      <w:r>
        <w:t>a</w:t>
      </w:r>
      <w:r>
        <w:rPr>
          <w:spacing w:val="-57"/>
        </w:rPr>
        <w:t xml:space="preserve"> </w:t>
      </w:r>
      <w:r>
        <w:t>significant impact from both legal and illegal mining activities. Under Ghanaian law, small-scale</w:t>
      </w:r>
      <w:r>
        <w:rPr>
          <w:spacing w:val="-57"/>
        </w:rPr>
        <w:t xml:space="preserve"> </w:t>
      </w:r>
      <w:r>
        <w:t>gold mining is reserved for Ghanaians. However, the boom in gold prices in the 2000s and</w:t>
      </w:r>
      <w:r>
        <w:rPr>
          <w:spacing w:val="1"/>
        </w:rPr>
        <w:t xml:space="preserve"> </w:t>
      </w:r>
      <w:r>
        <w:t>Ghana’s</w:t>
      </w:r>
      <w:r>
        <w:rPr>
          <w:spacing w:val="1"/>
        </w:rPr>
        <w:t xml:space="preserve"> </w:t>
      </w:r>
      <w:r>
        <w:t>unprotected</w:t>
      </w:r>
      <w:r>
        <w:rPr>
          <w:spacing w:val="1"/>
        </w:rPr>
        <w:t xml:space="preserve"> </w:t>
      </w:r>
      <w:r>
        <w:t>gold</w:t>
      </w:r>
      <w:r>
        <w:rPr>
          <w:spacing w:val="1"/>
        </w:rPr>
        <w:t xml:space="preserve"> </w:t>
      </w:r>
      <w:r>
        <w:t>wealth</w:t>
      </w:r>
      <w:r>
        <w:rPr>
          <w:spacing w:val="1"/>
        </w:rPr>
        <w:t xml:space="preserve"> </w:t>
      </w:r>
      <w:r>
        <w:t>drew</w:t>
      </w:r>
      <w:r>
        <w:rPr>
          <w:spacing w:val="1"/>
        </w:rPr>
        <w:t xml:space="preserve"> </w:t>
      </w:r>
      <w:r>
        <w:t>thousands</w:t>
      </w:r>
      <w:r>
        <w:rPr>
          <w:spacing w:val="1"/>
        </w:rPr>
        <w:t xml:space="preserve"> </w:t>
      </w:r>
      <w:r>
        <w:t>of</w:t>
      </w:r>
      <w:r>
        <w:rPr>
          <w:spacing w:val="1"/>
        </w:rPr>
        <w:t xml:space="preserve"> </w:t>
      </w:r>
      <w:r>
        <w:t>Chinese</w:t>
      </w:r>
      <w:r>
        <w:rPr>
          <w:spacing w:val="1"/>
        </w:rPr>
        <w:t xml:space="preserve"> </w:t>
      </w:r>
      <w:r>
        <w:t>miners to Ghana, who started</w:t>
      </w:r>
      <w:r>
        <w:rPr>
          <w:spacing w:val="1"/>
        </w:rPr>
        <w:t xml:space="preserve"> </w:t>
      </w:r>
      <w:r>
        <w:t>mining for gold illegally (Crawford et al., 2015). The scale of illegal mining expanded greatly in</w:t>
      </w:r>
      <w:r>
        <w:rPr>
          <w:spacing w:val="1"/>
        </w:rPr>
        <w:t xml:space="preserve"> </w:t>
      </w:r>
      <w:r>
        <w:t>the 2000s, attracting many foreign miners from neighboring Burkina Faso, Cote d’Ivoire, and</w:t>
      </w:r>
      <w:r>
        <w:rPr>
          <w:spacing w:val="1"/>
        </w:rPr>
        <w:t xml:space="preserve"> </w:t>
      </w:r>
      <w:r>
        <w:t>countries such as Russia, Armenia, and China. Before 2013, the Ghanaian government largely</w:t>
      </w:r>
      <w:r>
        <w:rPr>
          <w:spacing w:val="1"/>
        </w:rPr>
        <w:t xml:space="preserve"> </w:t>
      </w:r>
      <w:r>
        <w:t>overlooked</w:t>
      </w:r>
      <w:r>
        <w:rPr>
          <w:spacing w:val="-3"/>
        </w:rPr>
        <w:t xml:space="preserve"> </w:t>
      </w:r>
      <w:r>
        <w:t>the</w:t>
      </w:r>
      <w:r>
        <w:rPr>
          <w:spacing w:val="-2"/>
        </w:rPr>
        <w:t xml:space="preserve"> </w:t>
      </w:r>
      <w:r>
        <w:t>influx</w:t>
      </w:r>
      <w:r>
        <w:rPr>
          <w:spacing w:val="-2"/>
        </w:rPr>
        <w:t xml:space="preserve"> </w:t>
      </w:r>
      <w:r>
        <w:t>of</w:t>
      </w:r>
      <w:r>
        <w:rPr>
          <w:spacing w:val="-3"/>
        </w:rPr>
        <w:t xml:space="preserve"> </w:t>
      </w:r>
      <w:r>
        <w:t>Chinese</w:t>
      </w:r>
      <w:r>
        <w:rPr>
          <w:spacing w:val="-2"/>
        </w:rPr>
        <w:t xml:space="preserve"> </w:t>
      </w:r>
      <w:r>
        <w:t>migrants</w:t>
      </w:r>
      <w:r>
        <w:rPr>
          <w:spacing w:val="-2"/>
        </w:rPr>
        <w:t xml:space="preserve"> </w:t>
      </w:r>
      <w:r>
        <w:t>into</w:t>
      </w:r>
      <w:r>
        <w:rPr>
          <w:spacing w:val="-3"/>
        </w:rPr>
        <w:t xml:space="preserve"> </w:t>
      </w:r>
      <w:r>
        <w:t>the</w:t>
      </w:r>
      <w:r>
        <w:rPr>
          <w:spacing w:val="-2"/>
        </w:rPr>
        <w:t xml:space="preserve"> </w:t>
      </w:r>
      <w:r>
        <w:t>small-scale</w:t>
      </w:r>
      <w:r>
        <w:rPr>
          <w:spacing w:val="-2"/>
        </w:rPr>
        <w:t xml:space="preserve"> </w:t>
      </w:r>
      <w:r>
        <w:t>mining</w:t>
      </w:r>
      <w:r>
        <w:rPr>
          <w:spacing w:val="-3"/>
        </w:rPr>
        <w:t xml:space="preserve"> </w:t>
      </w:r>
      <w:r>
        <w:t>sector.</w:t>
      </w:r>
      <w:r>
        <w:rPr>
          <w:spacing w:val="-2"/>
        </w:rPr>
        <w:t xml:space="preserve"> </w:t>
      </w:r>
      <w:r>
        <w:t>Despite</w:t>
      </w:r>
      <w:r>
        <w:rPr>
          <w:spacing w:val="-2"/>
        </w:rPr>
        <w:t xml:space="preserve"> </w:t>
      </w:r>
      <w:r>
        <w:t>the</w:t>
      </w:r>
      <w:r>
        <w:rPr>
          <w:spacing w:val="-3"/>
        </w:rPr>
        <w:t xml:space="preserve"> </w:t>
      </w:r>
      <w:r>
        <w:t>passage</w:t>
      </w:r>
    </w:p>
    <w:p w14:paraId="5EE4FB40" w14:textId="77777777" w:rsidR="00223E8C" w:rsidRDefault="00223E8C">
      <w:pPr>
        <w:spacing w:line="480" w:lineRule="auto"/>
        <w:jc w:val="both"/>
        <w:sectPr w:rsidR="00223E8C">
          <w:pgSz w:w="12240" w:h="15840"/>
          <w:pgMar w:top="1380" w:right="1300" w:bottom="1000" w:left="1340" w:header="0" w:footer="804" w:gutter="0"/>
          <w:cols w:space="720"/>
        </w:sectPr>
      </w:pPr>
    </w:p>
    <w:p w14:paraId="1187A94F" w14:textId="77777777" w:rsidR="00223E8C" w:rsidRDefault="00000000">
      <w:pPr>
        <w:pStyle w:val="BodyText"/>
        <w:spacing w:before="60" w:line="480" w:lineRule="auto"/>
        <w:ind w:left="100" w:right="143"/>
        <w:jc w:val="both"/>
      </w:pPr>
      <w:r>
        <w:lastRenderedPageBreak/>
        <w:t>of the Minerals and Mining Act in 2006, the law was weakened by corrupt officials accepting</w:t>
      </w:r>
      <w:r>
        <w:rPr>
          <w:spacing w:val="1"/>
        </w:rPr>
        <w:t xml:space="preserve"> </w:t>
      </w:r>
      <w:r>
        <w:t>bribes from Chinese miners, enabling them to continue their activities. (Addy &amp; Adhikari, 2021).</w:t>
      </w:r>
    </w:p>
    <w:p w14:paraId="1C76F41F" w14:textId="77777777" w:rsidR="00223E8C" w:rsidRDefault="00223E8C">
      <w:pPr>
        <w:pStyle w:val="BodyText"/>
        <w:spacing w:before="10"/>
        <w:rPr>
          <w:sz w:val="20"/>
        </w:rPr>
      </w:pPr>
    </w:p>
    <w:p w14:paraId="1A801A7D" w14:textId="77777777" w:rsidR="00223E8C" w:rsidRDefault="00000000">
      <w:pPr>
        <w:pStyle w:val="BodyText"/>
        <w:spacing w:line="480" w:lineRule="auto"/>
        <w:ind w:left="100" w:right="138"/>
        <w:jc w:val="both"/>
      </w:pPr>
      <w:r>
        <w:t>These illegal mining activities, known locally as "</w:t>
      </w:r>
      <w:proofErr w:type="spellStart"/>
      <w:r>
        <w:t>galamsey</w:t>
      </w:r>
      <w:proofErr w:type="spellEnd"/>
      <w:r>
        <w:t>," have had a profound impact on the</w:t>
      </w:r>
      <w:r>
        <w:rPr>
          <w:spacing w:val="1"/>
        </w:rPr>
        <w:t xml:space="preserve"> </w:t>
      </w:r>
      <w:r>
        <w:t>region's vegetation. The clearing of land for mining operations, along with the pollution and soil</w:t>
      </w:r>
      <w:r>
        <w:rPr>
          <w:spacing w:val="1"/>
        </w:rPr>
        <w:t xml:space="preserve"> </w:t>
      </w:r>
      <w:r>
        <w:t>degradation</w:t>
      </w:r>
      <w:r>
        <w:rPr>
          <w:spacing w:val="60"/>
        </w:rPr>
        <w:t xml:space="preserve"> </w:t>
      </w:r>
      <w:r>
        <w:t>resulting from these activities, has contributed significantly to the observed decline</w:t>
      </w:r>
      <w:r>
        <w:rPr>
          <w:spacing w:val="1"/>
        </w:rPr>
        <w:t xml:space="preserve"> </w:t>
      </w:r>
      <w:r>
        <w:t>in vegetation health. Furthermore, urban expansion and agricultural practices have also played</w:t>
      </w:r>
      <w:r>
        <w:rPr>
          <w:spacing w:val="1"/>
        </w:rPr>
        <w:t xml:space="preserve"> </w:t>
      </w:r>
      <w:r>
        <w:t>roles in this environmental degradation, as forested areas are converted to cropland or urban</w:t>
      </w:r>
      <w:r>
        <w:rPr>
          <w:spacing w:val="1"/>
        </w:rPr>
        <w:t xml:space="preserve"> </w:t>
      </w:r>
      <w:r>
        <w:t>settlements. The analysis highlights a continuous decline in vegetation health in Obuasi from</w:t>
      </w:r>
      <w:r>
        <w:rPr>
          <w:spacing w:val="1"/>
        </w:rPr>
        <w:t xml:space="preserve"> </w:t>
      </w:r>
      <w:r>
        <w:t>1990</w:t>
      </w:r>
      <w:r>
        <w:rPr>
          <w:spacing w:val="1"/>
        </w:rPr>
        <w:t xml:space="preserve"> </w:t>
      </w:r>
      <w:r>
        <w:t>to</w:t>
      </w:r>
      <w:r>
        <w:rPr>
          <w:spacing w:val="1"/>
        </w:rPr>
        <w:t xml:space="preserve"> </w:t>
      </w:r>
      <w:r>
        <w:t>2024.</w:t>
      </w:r>
      <w:r>
        <w:rPr>
          <w:spacing w:val="1"/>
        </w:rPr>
        <w:t xml:space="preserve"> </w:t>
      </w:r>
      <w:r>
        <w:t>The</w:t>
      </w:r>
      <w:r>
        <w:rPr>
          <w:spacing w:val="1"/>
        </w:rPr>
        <w:t xml:space="preserve"> </w:t>
      </w:r>
      <w:r>
        <w:t>findings</w:t>
      </w:r>
      <w:r>
        <w:rPr>
          <w:spacing w:val="1"/>
        </w:rPr>
        <w:t xml:space="preserve"> </w:t>
      </w:r>
      <w:r>
        <w:t>emphasize</w:t>
      </w:r>
      <w:r>
        <w:rPr>
          <w:spacing w:val="1"/>
        </w:rPr>
        <w:t xml:space="preserve"> </w:t>
      </w:r>
      <w:r>
        <w:t>the</w:t>
      </w:r>
      <w:r>
        <w:rPr>
          <w:spacing w:val="1"/>
        </w:rPr>
        <w:t xml:space="preserve"> </w:t>
      </w:r>
      <w:r>
        <w:t>significant</w:t>
      </w:r>
      <w:r>
        <w:rPr>
          <w:spacing w:val="1"/>
        </w:rPr>
        <w:t xml:space="preserve"> </w:t>
      </w:r>
      <w:r>
        <w:t>impact</w:t>
      </w:r>
      <w:r>
        <w:rPr>
          <w:spacing w:val="1"/>
        </w:rPr>
        <w:t xml:space="preserve"> </w:t>
      </w:r>
      <w:r>
        <w:t>of</w:t>
      </w:r>
      <w:r>
        <w:rPr>
          <w:spacing w:val="1"/>
        </w:rPr>
        <w:t xml:space="preserve"> </w:t>
      </w:r>
      <w:r>
        <w:t>anthropogenic</w:t>
      </w:r>
      <w:r>
        <w:rPr>
          <w:spacing w:val="1"/>
        </w:rPr>
        <w:t xml:space="preserve"> </w:t>
      </w:r>
      <w:r>
        <w:t>activities,</w:t>
      </w:r>
      <w:r>
        <w:rPr>
          <w:spacing w:val="1"/>
        </w:rPr>
        <w:t xml:space="preserve"> </w:t>
      </w:r>
      <w:r>
        <w:t>particularly</w:t>
      </w:r>
      <w:r>
        <w:rPr>
          <w:spacing w:val="-1"/>
        </w:rPr>
        <w:t xml:space="preserve"> </w:t>
      </w:r>
      <w:r>
        <w:t>illegal mining,</w:t>
      </w:r>
      <w:r>
        <w:rPr>
          <w:spacing w:val="-1"/>
        </w:rPr>
        <w:t xml:space="preserve"> </w:t>
      </w:r>
      <w:r>
        <w:t>on the</w:t>
      </w:r>
      <w:r>
        <w:rPr>
          <w:spacing w:val="-1"/>
        </w:rPr>
        <w:t xml:space="preserve"> </w:t>
      </w:r>
      <w:r>
        <w:t>region’s vegetation cover.</w:t>
      </w:r>
    </w:p>
    <w:p w14:paraId="3F84DCFD" w14:textId="77777777" w:rsidR="00223E8C" w:rsidRDefault="00223E8C">
      <w:pPr>
        <w:pStyle w:val="BodyText"/>
        <w:spacing w:before="4"/>
      </w:pPr>
    </w:p>
    <w:p w14:paraId="671EBCDC" w14:textId="77777777" w:rsidR="00223E8C" w:rsidRDefault="00000000">
      <w:pPr>
        <w:pStyle w:val="Heading1"/>
        <w:jc w:val="both"/>
      </w:pPr>
      <w:r>
        <w:t>Conclusion</w:t>
      </w:r>
      <w:r>
        <w:rPr>
          <w:spacing w:val="-9"/>
        </w:rPr>
        <w:t xml:space="preserve"> </w:t>
      </w:r>
      <w:r>
        <w:t>and</w:t>
      </w:r>
      <w:r>
        <w:rPr>
          <w:spacing w:val="-8"/>
        </w:rPr>
        <w:t xml:space="preserve"> </w:t>
      </w:r>
      <w:r>
        <w:t>Recommendations</w:t>
      </w:r>
    </w:p>
    <w:p w14:paraId="214033CB" w14:textId="77777777" w:rsidR="00223E8C" w:rsidRDefault="00223E8C">
      <w:pPr>
        <w:pStyle w:val="BodyText"/>
        <w:rPr>
          <w:b/>
          <w:sz w:val="28"/>
        </w:rPr>
      </w:pPr>
    </w:p>
    <w:p w14:paraId="370FAD7E" w14:textId="77777777" w:rsidR="00223E8C" w:rsidRDefault="00000000">
      <w:pPr>
        <w:pStyle w:val="BodyText"/>
        <w:spacing w:before="217" w:line="480" w:lineRule="auto"/>
        <w:ind w:left="100" w:right="138"/>
        <w:jc w:val="both"/>
      </w:pPr>
      <w:r>
        <w:t>The NDVI analysis for Obuasi from 1990 to 2024 indicates a significant decrease in vegetation</w:t>
      </w:r>
      <w:r>
        <w:rPr>
          <w:spacing w:val="1"/>
        </w:rPr>
        <w:t xml:space="preserve"> </w:t>
      </w:r>
      <w:r>
        <w:t>health over the decades. Initially, the region boasted dense and robust vegetation cover, but over</w:t>
      </w:r>
      <w:r>
        <w:rPr>
          <w:spacing w:val="1"/>
        </w:rPr>
        <w:t xml:space="preserve"> </w:t>
      </w:r>
      <w:r>
        <w:t>time, there has been a marked shift towards moderate and low-density vegetation areas. This</w:t>
      </w:r>
      <w:r>
        <w:rPr>
          <w:spacing w:val="1"/>
        </w:rPr>
        <w:t xml:space="preserve"> </w:t>
      </w:r>
      <w:r>
        <w:t>decline can be attributed to several factors, including urbanization, agricultural expansion, and</w:t>
      </w:r>
      <w:r>
        <w:rPr>
          <w:spacing w:val="1"/>
        </w:rPr>
        <w:t xml:space="preserve"> </w:t>
      </w:r>
      <w:r>
        <w:t>most notably, illegal mining activities, known locally as "</w:t>
      </w:r>
      <w:proofErr w:type="spellStart"/>
      <w:r>
        <w:t>galamsey</w:t>
      </w:r>
      <w:proofErr w:type="spellEnd"/>
      <w:r>
        <w:t>." Despite the introduction of</w:t>
      </w:r>
      <w:r>
        <w:rPr>
          <w:spacing w:val="1"/>
        </w:rPr>
        <w:t xml:space="preserve"> </w:t>
      </w:r>
      <w:r>
        <w:t>the Minerals and Mining Act in 2006, weak enforcement and corruption allowed these activities</w:t>
      </w:r>
      <w:r>
        <w:rPr>
          <w:spacing w:val="1"/>
        </w:rPr>
        <w:t xml:space="preserve"> </w:t>
      </w:r>
      <w:r>
        <w:t>to continue unabated (Crawford et al., 2015; Botchwey &amp; Crawford, 2019; Addy &amp; Adhikari,</w:t>
      </w:r>
      <w:r>
        <w:rPr>
          <w:spacing w:val="1"/>
        </w:rPr>
        <w:t xml:space="preserve"> </w:t>
      </w:r>
      <w:r>
        <w:t>2021).</w:t>
      </w:r>
    </w:p>
    <w:p w14:paraId="6F7F7DD5" w14:textId="77777777" w:rsidR="00223E8C" w:rsidRDefault="00223E8C">
      <w:pPr>
        <w:pStyle w:val="BodyText"/>
        <w:spacing w:before="10"/>
        <w:rPr>
          <w:sz w:val="20"/>
        </w:rPr>
      </w:pPr>
    </w:p>
    <w:p w14:paraId="090B4407" w14:textId="77777777" w:rsidR="00223E8C" w:rsidRDefault="00000000">
      <w:pPr>
        <w:pStyle w:val="BodyText"/>
        <w:spacing w:line="480" w:lineRule="auto"/>
        <w:ind w:left="100" w:right="140"/>
        <w:jc w:val="both"/>
      </w:pPr>
      <w:r>
        <w:t>To</w:t>
      </w:r>
      <w:r>
        <w:rPr>
          <w:spacing w:val="1"/>
        </w:rPr>
        <w:t xml:space="preserve"> </w:t>
      </w:r>
      <w:r>
        <w:t>address</w:t>
      </w:r>
      <w:r>
        <w:rPr>
          <w:spacing w:val="1"/>
        </w:rPr>
        <w:t xml:space="preserve"> </w:t>
      </w:r>
      <w:r>
        <w:t>these</w:t>
      </w:r>
      <w:r>
        <w:rPr>
          <w:spacing w:val="1"/>
        </w:rPr>
        <w:t xml:space="preserve"> </w:t>
      </w:r>
      <w:r>
        <w:t>issues</w:t>
      </w:r>
      <w:r>
        <w:rPr>
          <w:spacing w:val="1"/>
        </w:rPr>
        <w:t xml:space="preserve"> </w:t>
      </w:r>
      <w:r>
        <w:t>and promote ecological sustainability in Obuasi, several actions are</w:t>
      </w:r>
      <w:r>
        <w:rPr>
          <w:spacing w:val="1"/>
        </w:rPr>
        <w:t xml:space="preserve"> </w:t>
      </w:r>
      <w:r>
        <w:t>recommended. Firstly, strengthening the enforcement of existing mining laws and cracking down</w:t>
      </w:r>
      <w:r>
        <w:rPr>
          <w:spacing w:val="-57"/>
        </w:rPr>
        <w:t xml:space="preserve"> </w:t>
      </w:r>
      <w:r>
        <w:t>on</w:t>
      </w:r>
      <w:r>
        <w:rPr>
          <w:spacing w:val="41"/>
        </w:rPr>
        <w:t xml:space="preserve"> </w:t>
      </w:r>
      <w:r>
        <w:t>corruption</w:t>
      </w:r>
      <w:r>
        <w:rPr>
          <w:spacing w:val="42"/>
        </w:rPr>
        <w:t xml:space="preserve"> </w:t>
      </w:r>
      <w:r>
        <w:t>within</w:t>
      </w:r>
      <w:r>
        <w:rPr>
          <w:spacing w:val="42"/>
        </w:rPr>
        <w:t xml:space="preserve"> </w:t>
      </w:r>
      <w:r>
        <w:t>regulatory</w:t>
      </w:r>
      <w:r>
        <w:rPr>
          <w:spacing w:val="42"/>
        </w:rPr>
        <w:t xml:space="preserve"> </w:t>
      </w:r>
      <w:r>
        <w:t>bodies</w:t>
      </w:r>
      <w:r>
        <w:rPr>
          <w:spacing w:val="42"/>
        </w:rPr>
        <w:t xml:space="preserve"> </w:t>
      </w:r>
      <w:r>
        <w:t>is</w:t>
      </w:r>
      <w:r>
        <w:rPr>
          <w:spacing w:val="42"/>
        </w:rPr>
        <w:t xml:space="preserve"> </w:t>
      </w:r>
      <w:r>
        <w:t>crucial.</w:t>
      </w:r>
      <w:r>
        <w:rPr>
          <w:spacing w:val="42"/>
        </w:rPr>
        <w:t xml:space="preserve"> </w:t>
      </w:r>
      <w:r>
        <w:t>Secondly,</w:t>
      </w:r>
      <w:r>
        <w:rPr>
          <w:spacing w:val="27"/>
        </w:rPr>
        <w:t xml:space="preserve"> </w:t>
      </w:r>
      <w:r>
        <w:t>reforestation</w:t>
      </w:r>
      <w:r>
        <w:rPr>
          <w:spacing w:val="28"/>
        </w:rPr>
        <w:t xml:space="preserve"> </w:t>
      </w:r>
      <w:r>
        <w:t>programs</w:t>
      </w:r>
      <w:r>
        <w:rPr>
          <w:spacing w:val="27"/>
        </w:rPr>
        <w:t xml:space="preserve"> </w:t>
      </w:r>
      <w:r>
        <w:t>should</w:t>
      </w:r>
      <w:r>
        <w:rPr>
          <w:spacing w:val="27"/>
        </w:rPr>
        <w:t xml:space="preserve"> </w:t>
      </w:r>
      <w:r>
        <w:t>be</w:t>
      </w:r>
    </w:p>
    <w:p w14:paraId="103D6689" w14:textId="77777777" w:rsidR="00223E8C" w:rsidRDefault="00223E8C">
      <w:pPr>
        <w:spacing w:line="480" w:lineRule="auto"/>
        <w:jc w:val="both"/>
        <w:sectPr w:rsidR="00223E8C">
          <w:pgSz w:w="12240" w:h="15840"/>
          <w:pgMar w:top="1380" w:right="1300" w:bottom="1000" w:left="1340" w:header="0" w:footer="804" w:gutter="0"/>
          <w:cols w:space="720"/>
        </w:sectPr>
      </w:pPr>
    </w:p>
    <w:p w14:paraId="1E934CC5" w14:textId="77777777" w:rsidR="00223E8C" w:rsidRDefault="00000000">
      <w:pPr>
        <w:pStyle w:val="BodyText"/>
        <w:spacing w:before="60" w:line="480" w:lineRule="auto"/>
        <w:ind w:left="100" w:right="138"/>
        <w:jc w:val="both"/>
      </w:pPr>
      <w:r>
        <w:lastRenderedPageBreak/>
        <w:t>implemented to rehabilitate degraded lands and restore the region's vegetation cover. Thirdly,</w:t>
      </w:r>
      <w:r>
        <w:rPr>
          <w:spacing w:val="1"/>
        </w:rPr>
        <w:t xml:space="preserve"> </w:t>
      </w:r>
      <w:r>
        <w:t>promoting</w:t>
      </w:r>
      <w:r>
        <w:rPr>
          <w:spacing w:val="1"/>
        </w:rPr>
        <w:t xml:space="preserve"> </w:t>
      </w:r>
      <w:r>
        <w:t>sustainable</w:t>
      </w:r>
      <w:r>
        <w:rPr>
          <w:spacing w:val="1"/>
        </w:rPr>
        <w:t xml:space="preserve"> </w:t>
      </w:r>
      <w:r>
        <w:t>land</w:t>
      </w:r>
      <w:r>
        <w:rPr>
          <w:spacing w:val="1"/>
        </w:rPr>
        <w:t xml:space="preserve"> </w:t>
      </w:r>
      <w:r>
        <w:t>use</w:t>
      </w:r>
      <w:r>
        <w:rPr>
          <w:spacing w:val="1"/>
        </w:rPr>
        <w:t xml:space="preserve"> </w:t>
      </w:r>
      <w:r>
        <w:t>practices</w:t>
      </w:r>
      <w:r>
        <w:rPr>
          <w:spacing w:val="1"/>
        </w:rPr>
        <w:t xml:space="preserve"> </w:t>
      </w:r>
      <w:r>
        <w:t>and</w:t>
      </w:r>
      <w:r>
        <w:rPr>
          <w:spacing w:val="1"/>
        </w:rPr>
        <w:t xml:space="preserve"> </w:t>
      </w:r>
      <w:r>
        <w:t>providing</w:t>
      </w:r>
      <w:r>
        <w:rPr>
          <w:spacing w:val="1"/>
        </w:rPr>
        <w:t xml:space="preserve"> </w:t>
      </w:r>
      <w:r>
        <w:t>alternative</w:t>
      </w:r>
      <w:r>
        <w:rPr>
          <w:spacing w:val="1"/>
        </w:rPr>
        <w:t xml:space="preserve"> </w:t>
      </w:r>
      <w:r>
        <w:t>livelihoods</w:t>
      </w:r>
      <w:r>
        <w:rPr>
          <w:spacing w:val="1"/>
        </w:rPr>
        <w:t xml:space="preserve"> </w:t>
      </w:r>
      <w:r>
        <w:t>for</w:t>
      </w:r>
      <w:r>
        <w:rPr>
          <w:spacing w:val="1"/>
        </w:rPr>
        <w:t xml:space="preserve"> </w:t>
      </w:r>
      <w:r>
        <w:t>local</w:t>
      </w:r>
      <w:r>
        <w:rPr>
          <w:spacing w:val="1"/>
        </w:rPr>
        <w:t xml:space="preserve"> </w:t>
      </w:r>
      <w:r>
        <w:t>communities can reduce the pressure on natural resources. Finally, increasing public awareness</w:t>
      </w:r>
      <w:r>
        <w:rPr>
          <w:spacing w:val="1"/>
        </w:rPr>
        <w:t xml:space="preserve"> </w:t>
      </w:r>
      <w:r>
        <w:t>about</w:t>
      </w:r>
      <w:r>
        <w:rPr>
          <w:spacing w:val="1"/>
        </w:rPr>
        <w:t xml:space="preserve"> </w:t>
      </w:r>
      <w:r>
        <w:t>the</w:t>
      </w:r>
      <w:r>
        <w:rPr>
          <w:spacing w:val="1"/>
        </w:rPr>
        <w:t xml:space="preserve"> </w:t>
      </w:r>
      <w:r>
        <w:t>environmental</w:t>
      </w:r>
      <w:r>
        <w:rPr>
          <w:spacing w:val="1"/>
        </w:rPr>
        <w:t xml:space="preserve"> </w:t>
      </w:r>
      <w:r>
        <w:t>impacts</w:t>
      </w:r>
      <w:r>
        <w:rPr>
          <w:spacing w:val="1"/>
        </w:rPr>
        <w:t xml:space="preserve"> </w:t>
      </w:r>
      <w:r>
        <w:t>of</w:t>
      </w:r>
      <w:r>
        <w:rPr>
          <w:spacing w:val="1"/>
        </w:rPr>
        <w:t xml:space="preserve"> </w:t>
      </w:r>
      <w:r>
        <w:t>illegal</w:t>
      </w:r>
      <w:r>
        <w:rPr>
          <w:spacing w:val="1"/>
        </w:rPr>
        <w:t xml:space="preserve"> </w:t>
      </w:r>
      <w:r>
        <w:t>mining</w:t>
      </w:r>
      <w:r>
        <w:rPr>
          <w:spacing w:val="1"/>
        </w:rPr>
        <w:t xml:space="preserve"> </w:t>
      </w:r>
      <w:r>
        <w:t>and</w:t>
      </w:r>
      <w:r>
        <w:rPr>
          <w:spacing w:val="1"/>
        </w:rPr>
        <w:t xml:space="preserve"> </w:t>
      </w:r>
      <w:r>
        <w:t>engaging</w:t>
      </w:r>
      <w:r>
        <w:rPr>
          <w:spacing w:val="1"/>
        </w:rPr>
        <w:t xml:space="preserve"> </w:t>
      </w:r>
      <w:r>
        <w:t>local</w:t>
      </w:r>
      <w:r>
        <w:rPr>
          <w:spacing w:val="1"/>
        </w:rPr>
        <w:t xml:space="preserve"> </w:t>
      </w:r>
      <w:r>
        <w:t>communities</w:t>
      </w:r>
      <w:r>
        <w:rPr>
          <w:spacing w:val="1"/>
        </w:rPr>
        <w:t xml:space="preserve"> </w:t>
      </w:r>
      <w:r>
        <w:t>in</w:t>
      </w:r>
      <w:r>
        <w:rPr>
          <w:spacing w:val="1"/>
        </w:rPr>
        <w:t xml:space="preserve"> </w:t>
      </w:r>
      <w:r>
        <w:t>conservation efforts can foster a culture of environmental stewardship. It is possible to halt and</w:t>
      </w:r>
      <w:r>
        <w:rPr>
          <w:spacing w:val="1"/>
        </w:rPr>
        <w:t xml:space="preserve"> </w:t>
      </w:r>
      <w:r>
        <w:t>eventually reverse the decline in vegetation health, ensuring a sustainable future for Obuasi's</w:t>
      </w:r>
      <w:r>
        <w:rPr>
          <w:spacing w:val="1"/>
        </w:rPr>
        <w:t xml:space="preserve"> </w:t>
      </w:r>
      <w:r>
        <w:t>ecosystem.</w:t>
      </w:r>
    </w:p>
    <w:p w14:paraId="13F4E17C" w14:textId="77777777" w:rsidR="00223E8C" w:rsidRDefault="00223E8C">
      <w:pPr>
        <w:spacing w:line="480" w:lineRule="auto"/>
        <w:jc w:val="both"/>
        <w:sectPr w:rsidR="00223E8C">
          <w:pgSz w:w="12240" w:h="15840"/>
          <w:pgMar w:top="1380" w:right="1300" w:bottom="1000" w:left="1340" w:header="0" w:footer="804" w:gutter="0"/>
          <w:cols w:space="720"/>
        </w:sectPr>
      </w:pPr>
    </w:p>
    <w:p w14:paraId="347B0333" w14:textId="77777777" w:rsidR="00223E8C" w:rsidRDefault="00000000">
      <w:pPr>
        <w:pStyle w:val="BodyText"/>
        <w:spacing w:before="60"/>
        <w:ind w:left="100"/>
      </w:pPr>
      <w:r>
        <w:lastRenderedPageBreak/>
        <w:t>REFERENCES</w:t>
      </w:r>
    </w:p>
    <w:p w14:paraId="6E369B5C" w14:textId="77777777" w:rsidR="00223E8C" w:rsidRDefault="00223E8C">
      <w:pPr>
        <w:pStyle w:val="BodyText"/>
      </w:pPr>
    </w:p>
    <w:p w14:paraId="3FF2FE79" w14:textId="77777777" w:rsidR="00223E8C" w:rsidRDefault="00000000">
      <w:pPr>
        <w:pStyle w:val="ListParagraph"/>
        <w:numPr>
          <w:ilvl w:val="0"/>
          <w:numId w:val="1"/>
        </w:numPr>
        <w:tabs>
          <w:tab w:val="left" w:pos="820"/>
        </w:tabs>
        <w:spacing w:line="480" w:lineRule="auto"/>
        <w:ind w:right="140"/>
        <w:rPr>
          <w:sz w:val="24"/>
        </w:rPr>
      </w:pPr>
      <w:r>
        <w:rPr>
          <w:sz w:val="24"/>
        </w:rPr>
        <w:t>Addy,</w:t>
      </w:r>
      <w:r>
        <w:rPr>
          <w:spacing w:val="-4"/>
          <w:sz w:val="24"/>
        </w:rPr>
        <w:t xml:space="preserve"> </w:t>
      </w:r>
      <w:r>
        <w:rPr>
          <w:sz w:val="24"/>
        </w:rPr>
        <w:t>F.</w:t>
      </w:r>
      <w:r>
        <w:rPr>
          <w:spacing w:val="-4"/>
          <w:sz w:val="24"/>
        </w:rPr>
        <w:t xml:space="preserve"> </w:t>
      </w:r>
      <w:r>
        <w:rPr>
          <w:sz w:val="24"/>
        </w:rPr>
        <w:t>D.,</w:t>
      </w:r>
      <w:r>
        <w:rPr>
          <w:spacing w:val="-4"/>
          <w:sz w:val="24"/>
        </w:rPr>
        <w:t xml:space="preserve"> </w:t>
      </w:r>
      <w:r>
        <w:rPr>
          <w:sz w:val="24"/>
        </w:rPr>
        <w:t>&amp;</w:t>
      </w:r>
      <w:r>
        <w:rPr>
          <w:spacing w:val="-4"/>
          <w:sz w:val="24"/>
        </w:rPr>
        <w:t xml:space="preserve"> </w:t>
      </w:r>
      <w:r>
        <w:rPr>
          <w:sz w:val="24"/>
        </w:rPr>
        <w:t>Adhikari,</w:t>
      </w:r>
      <w:r>
        <w:rPr>
          <w:spacing w:val="-4"/>
          <w:sz w:val="24"/>
        </w:rPr>
        <w:t xml:space="preserve"> </w:t>
      </w:r>
      <w:r>
        <w:rPr>
          <w:sz w:val="24"/>
        </w:rPr>
        <w:t>S.</w:t>
      </w:r>
      <w:r>
        <w:rPr>
          <w:spacing w:val="-4"/>
          <w:sz w:val="24"/>
        </w:rPr>
        <w:t xml:space="preserve"> </w:t>
      </w:r>
      <w:r>
        <w:rPr>
          <w:sz w:val="24"/>
        </w:rPr>
        <w:t>(2021,</w:t>
      </w:r>
      <w:r>
        <w:rPr>
          <w:spacing w:val="-4"/>
          <w:sz w:val="24"/>
        </w:rPr>
        <w:t xml:space="preserve"> </w:t>
      </w:r>
      <w:r>
        <w:rPr>
          <w:sz w:val="24"/>
        </w:rPr>
        <w:t>February).</w:t>
      </w:r>
      <w:r>
        <w:rPr>
          <w:spacing w:val="-4"/>
          <w:sz w:val="24"/>
        </w:rPr>
        <w:t xml:space="preserve"> </w:t>
      </w:r>
      <w:proofErr w:type="spellStart"/>
      <w:r>
        <w:rPr>
          <w:sz w:val="24"/>
        </w:rPr>
        <w:t>Galamsey</w:t>
      </w:r>
      <w:proofErr w:type="spellEnd"/>
      <w:r>
        <w:rPr>
          <w:spacing w:val="-4"/>
          <w:sz w:val="24"/>
        </w:rPr>
        <w:t xml:space="preserve"> </w:t>
      </w:r>
      <w:r>
        <w:rPr>
          <w:sz w:val="24"/>
        </w:rPr>
        <w:t>in</w:t>
      </w:r>
      <w:r>
        <w:rPr>
          <w:spacing w:val="-3"/>
          <w:sz w:val="24"/>
        </w:rPr>
        <w:t xml:space="preserve"> </w:t>
      </w:r>
      <w:r>
        <w:rPr>
          <w:sz w:val="24"/>
        </w:rPr>
        <w:t>Ghana:</w:t>
      </w:r>
      <w:r>
        <w:rPr>
          <w:spacing w:val="-4"/>
          <w:sz w:val="24"/>
        </w:rPr>
        <w:t xml:space="preserve"> </w:t>
      </w:r>
      <w:r>
        <w:rPr>
          <w:sz w:val="24"/>
        </w:rPr>
        <w:t>Mitigating</w:t>
      </w:r>
      <w:r>
        <w:rPr>
          <w:spacing w:val="-4"/>
          <w:sz w:val="24"/>
        </w:rPr>
        <w:t xml:space="preserve"> </w:t>
      </w:r>
      <w:r>
        <w:rPr>
          <w:sz w:val="24"/>
        </w:rPr>
        <w:t>its</w:t>
      </w:r>
      <w:r>
        <w:rPr>
          <w:spacing w:val="-4"/>
          <w:sz w:val="24"/>
        </w:rPr>
        <w:t xml:space="preserve"> </w:t>
      </w:r>
      <w:r>
        <w:rPr>
          <w:sz w:val="24"/>
        </w:rPr>
        <w:t>negative</w:t>
      </w:r>
      <w:r>
        <w:rPr>
          <w:spacing w:val="-57"/>
          <w:sz w:val="24"/>
        </w:rPr>
        <w:t xml:space="preserve"> </w:t>
      </w:r>
      <w:r>
        <w:rPr>
          <w:sz w:val="24"/>
        </w:rPr>
        <w:t>effects.</w:t>
      </w:r>
      <w:r>
        <w:rPr>
          <w:spacing w:val="-1"/>
          <w:sz w:val="24"/>
        </w:rPr>
        <w:t xml:space="preserve"> </w:t>
      </w:r>
      <w:r>
        <w:rPr>
          <w:sz w:val="24"/>
        </w:rPr>
        <w:t>*Women</w:t>
      </w:r>
      <w:r>
        <w:rPr>
          <w:spacing w:val="-1"/>
          <w:sz w:val="24"/>
        </w:rPr>
        <w:t xml:space="preserve"> </w:t>
      </w:r>
      <w:r>
        <w:rPr>
          <w:sz w:val="24"/>
        </w:rPr>
        <w:t>in International</w:t>
      </w:r>
      <w:r>
        <w:rPr>
          <w:spacing w:val="-1"/>
          <w:sz w:val="24"/>
        </w:rPr>
        <w:t xml:space="preserve"> </w:t>
      </w:r>
      <w:r>
        <w:rPr>
          <w:sz w:val="24"/>
        </w:rPr>
        <w:t>Security (WIIS)</w:t>
      </w:r>
      <w:r>
        <w:rPr>
          <w:spacing w:val="-1"/>
          <w:sz w:val="24"/>
        </w:rPr>
        <w:t xml:space="preserve"> </w:t>
      </w:r>
      <w:r>
        <w:rPr>
          <w:sz w:val="24"/>
        </w:rPr>
        <w:t>Policy Brief*.</w:t>
      </w:r>
    </w:p>
    <w:p w14:paraId="68195114" w14:textId="77777777" w:rsidR="00223E8C" w:rsidRDefault="00000000">
      <w:pPr>
        <w:pStyle w:val="ListParagraph"/>
        <w:numPr>
          <w:ilvl w:val="0"/>
          <w:numId w:val="1"/>
        </w:numPr>
        <w:tabs>
          <w:tab w:val="left" w:pos="820"/>
        </w:tabs>
        <w:spacing w:line="480" w:lineRule="auto"/>
        <w:ind w:right="466"/>
        <w:rPr>
          <w:sz w:val="24"/>
        </w:rPr>
      </w:pPr>
      <w:r>
        <w:rPr>
          <w:sz w:val="24"/>
        </w:rPr>
        <w:t>Akufo-Addo.</w:t>
      </w:r>
      <w:r>
        <w:rPr>
          <w:spacing w:val="-3"/>
          <w:sz w:val="24"/>
        </w:rPr>
        <w:t xml:space="preserve"> </w:t>
      </w:r>
      <w:r>
        <w:rPr>
          <w:sz w:val="24"/>
        </w:rPr>
        <w:t>(2024).</w:t>
      </w:r>
      <w:r>
        <w:rPr>
          <w:spacing w:val="-3"/>
          <w:sz w:val="24"/>
        </w:rPr>
        <w:t xml:space="preserve"> </w:t>
      </w:r>
      <w:r>
        <w:rPr>
          <w:sz w:val="24"/>
        </w:rPr>
        <w:t>SONA2024:</w:t>
      </w:r>
      <w:r>
        <w:rPr>
          <w:spacing w:val="-3"/>
          <w:sz w:val="24"/>
        </w:rPr>
        <w:t xml:space="preserve"> </w:t>
      </w:r>
      <w:r>
        <w:rPr>
          <w:sz w:val="24"/>
        </w:rPr>
        <w:t>Ghana</w:t>
      </w:r>
      <w:r>
        <w:rPr>
          <w:spacing w:val="-3"/>
          <w:sz w:val="24"/>
        </w:rPr>
        <w:t xml:space="preserve"> </w:t>
      </w:r>
      <w:r>
        <w:rPr>
          <w:sz w:val="24"/>
        </w:rPr>
        <w:t>now</w:t>
      </w:r>
      <w:r>
        <w:rPr>
          <w:spacing w:val="-3"/>
          <w:sz w:val="24"/>
        </w:rPr>
        <w:t xml:space="preserve"> </w:t>
      </w:r>
      <w:r>
        <w:rPr>
          <w:sz w:val="24"/>
        </w:rPr>
        <w:t>Africa’s</w:t>
      </w:r>
      <w:r>
        <w:rPr>
          <w:spacing w:val="-3"/>
          <w:sz w:val="24"/>
        </w:rPr>
        <w:t xml:space="preserve"> </w:t>
      </w:r>
      <w:r>
        <w:rPr>
          <w:sz w:val="24"/>
        </w:rPr>
        <w:t>#1</w:t>
      </w:r>
      <w:r>
        <w:rPr>
          <w:spacing w:val="-3"/>
          <w:sz w:val="24"/>
        </w:rPr>
        <w:t xml:space="preserve"> </w:t>
      </w:r>
      <w:r>
        <w:rPr>
          <w:sz w:val="24"/>
        </w:rPr>
        <w:t>producer</w:t>
      </w:r>
      <w:r>
        <w:rPr>
          <w:spacing w:val="-3"/>
          <w:sz w:val="24"/>
        </w:rPr>
        <w:t xml:space="preserve"> </w:t>
      </w:r>
      <w:r>
        <w:rPr>
          <w:sz w:val="24"/>
        </w:rPr>
        <w:t>of</w:t>
      </w:r>
      <w:r>
        <w:rPr>
          <w:spacing w:val="-3"/>
          <w:sz w:val="24"/>
        </w:rPr>
        <w:t xml:space="preserve"> </w:t>
      </w:r>
      <w:r>
        <w:rPr>
          <w:sz w:val="24"/>
        </w:rPr>
        <w:t>gold.</w:t>
      </w:r>
      <w:r>
        <w:rPr>
          <w:spacing w:val="-3"/>
          <w:sz w:val="24"/>
        </w:rPr>
        <w:t xml:space="preserve"> </w:t>
      </w:r>
      <w:r>
        <w:rPr>
          <w:sz w:val="24"/>
        </w:rPr>
        <w:t>Retrieved</w:t>
      </w:r>
      <w:r>
        <w:rPr>
          <w:spacing w:val="-57"/>
          <w:sz w:val="24"/>
        </w:rPr>
        <w:t xml:space="preserve"> </w:t>
      </w:r>
      <w:r>
        <w:rPr>
          <w:sz w:val="24"/>
        </w:rPr>
        <w:t>from</w:t>
      </w:r>
    </w:p>
    <w:p w14:paraId="2E486666" w14:textId="77777777" w:rsidR="00223E8C" w:rsidRDefault="00000000">
      <w:pPr>
        <w:pStyle w:val="BodyText"/>
        <w:ind w:left="820"/>
      </w:pPr>
      <w:r>
        <w:t>https://3news.com/featured/sona2024-ghana-now-africas-1-producer-of-gold-akufo-addo/</w:t>
      </w:r>
    </w:p>
    <w:p w14:paraId="2A8D33BE" w14:textId="77777777" w:rsidR="00223E8C" w:rsidRDefault="00223E8C">
      <w:pPr>
        <w:pStyle w:val="BodyText"/>
      </w:pPr>
    </w:p>
    <w:p w14:paraId="0606CDF4" w14:textId="77777777" w:rsidR="00223E8C" w:rsidRDefault="00000000">
      <w:pPr>
        <w:pStyle w:val="ListParagraph"/>
        <w:numPr>
          <w:ilvl w:val="0"/>
          <w:numId w:val="1"/>
        </w:numPr>
        <w:tabs>
          <w:tab w:val="left" w:pos="820"/>
        </w:tabs>
        <w:spacing w:line="480" w:lineRule="auto"/>
        <w:ind w:right="360"/>
        <w:rPr>
          <w:sz w:val="24"/>
        </w:rPr>
      </w:pPr>
      <w:r>
        <w:rPr>
          <w:sz w:val="24"/>
        </w:rPr>
        <w:t>Amoah, A., &amp; Korle, K. (2020). Forest depletion in Ghana: The empirical evidence and</w:t>
      </w:r>
      <w:r>
        <w:rPr>
          <w:spacing w:val="-58"/>
          <w:sz w:val="24"/>
        </w:rPr>
        <w:t xml:space="preserve"> </w:t>
      </w:r>
      <w:r>
        <w:rPr>
          <w:sz w:val="24"/>
        </w:rPr>
        <w:t>associated driver intensities. *Forestry Economics Review*.</w:t>
      </w:r>
    </w:p>
    <w:p w14:paraId="4E17B985" w14:textId="77777777" w:rsidR="00223E8C" w:rsidRDefault="00000000">
      <w:pPr>
        <w:pStyle w:val="ListParagraph"/>
        <w:numPr>
          <w:ilvl w:val="0"/>
          <w:numId w:val="1"/>
        </w:numPr>
        <w:tabs>
          <w:tab w:val="left" w:pos="820"/>
        </w:tabs>
        <w:rPr>
          <w:sz w:val="24"/>
        </w:rPr>
      </w:pPr>
      <w:r>
        <w:rPr>
          <w:sz w:val="24"/>
        </w:rPr>
        <w:t>Boafo, J. (2013, January 16). The impact of deforestation on forest livelihoods in Ghana.</w:t>
      </w:r>
    </w:p>
    <w:p w14:paraId="7F34FFC6" w14:textId="77777777" w:rsidR="00223E8C" w:rsidRDefault="00223E8C">
      <w:pPr>
        <w:pStyle w:val="BodyText"/>
      </w:pPr>
    </w:p>
    <w:p w14:paraId="2F4554AE" w14:textId="77777777" w:rsidR="00223E8C" w:rsidRDefault="00000000">
      <w:pPr>
        <w:pStyle w:val="BodyText"/>
        <w:spacing w:line="480" w:lineRule="auto"/>
        <w:ind w:left="820" w:right="173"/>
      </w:pPr>
      <w:r>
        <w:t>*Africa Portal*. Retrieved September 12, 2014, from</w:t>
      </w:r>
      <w:r>
        <w:rPr>
          <w:spacing w:val="1"/>
        </w:rPr>
        <w:t xml:space="preserve"> </w:t>
      </w:r>
      <w:hyperlink r:id="rId19">
        <w:r w:rsidR="00223E8C">
          <w:rPr>
            <w:spacing w:val="-1"/>
          </w:rPr>
          <w:t>http://www.africaportal.org/articles/2013/01/16/impact-deforestationforest-livelihoods-gh</w:t>
        </w:r>
      </w:hyperlink>
      <w:r>
        <w:t xml:space="preserve"> ana#chapter%3C?php print $chapter;?%3E</w:t>
      </w:r>
    </w:p>
    <w:p w14:paraId="11CE5388" w14:textId="77777777" w:rsidR="00223E8C" w:rsidRDefault="00000000">
      <w:pPr>
        <w:pStyle w:val="ListParagraph"/>
        <w:numPr>
          <w:ilvl w:val="0"/>
          <w:numId w:val="1"/>
        </w:numPr>
        <w:tabs>
          <w:tab w:val="left" w:pos="820"/>
        </w:tabs>
        <w:spacing w:line="480" w:lineRule="auto"/>
        <w:ind w:right="179"/>
        <w:rPr>
          <w:sz w:val="24"/>
        </w:rPr>
      </w:pPr>
      <w:r>
        <w:rPr>
          <w:sz w:val="24"/>
        </w:rPr>
        <w:t>2. Gordon Crawford et al., “The Impact of Chinese Involvement in Small-Scale Gold</w:t>
      </w:r>
      <w:r>
        <w:rPr>
          <w:spacing w:val="1"/>
          <w:sz w:val="24"/>
        </w:rPr>
        <w:t xml:space="preserve"> </w:t>
      </w:r>
      <w:r>
        <w:rPr>
          <w:sz w:val="24"/>
        </w:rPr>
        <w:t>Mining in Ghana,” E-33110-GHA-1 (International Growth Center, May 2015); Gabriel</w:t>
      </w:r>
      <w:r>
        <w:rPr>
          <w:spacing w:val="1"/>
          <w:sz w:val="24"/>
        </w:rPr>
        <w:t xml:space="preserve"> </w:t>
      </w:r>
      <w:r>
        <w:rPr>
          <w:sz w:val="24"/>
        </w:rPr>
        <w:t>Botchwey</w:t>
      </w:r>
      <w:r>
        <w:rPr>
          <w:spacing w:val="-3"/>
          <w:sz w:val="24"/>
        </w:rPr>
        <w:t xml:space="preserve"> </w:t>
      </w:r>
      <w:r>
        <w:rPr>
          <w:sz w:val="24"/>
        </w:rPr>
        <w:t>and</w:t>
      </w:r>
      <w:r>
        <w:rPr>
          <w:spacing w:val="-3"/>
          <w:sz w:val="24"/>
        </w:rPr>
        <w:t xml:space="preserve"> </w:t>
      </w:r>
      <w:r>
        <w:rPr>
          <w:sz w:val="24"/>
        </w:rPr>
        <w:t>Gordon</w:t>
      </w:r>
      <w:r>
        <w:rPr>
          <w:spacing w:val="-3"/>
          <w:sz w:val="24"/>
        </w:rPr>
        <w:t xml:space="preserve"> </w:t>
      </w:r>
      <w:r>
        <w:rPr>
          <w:sz w:val="24"/>
        </w:rPr>
        <w:t>Crawford,</w:t>
      </w:r>
      <w:r>
        <w:rPr>
          <w:spacing w:val="-2"/>
          <w:sz w:val="24"/>
        </w:rPr>
        <w:t xml:space="preserve"> </w:t>
      </w:r>
      <w:r>
        <w:rPr>
          <w:sz w:val="24"/>
        </w:rPr>
        <w:t>“Lifting</w:t>
      </w:r>
      <w:r>
        <w:rPr>
          <w:spacing w:val="-3"/>
          <w:sz w:val="24"/>
        </w:rPr>
        <w:t xml:space="preserve"> </w:t>
      </w:r>
      <w:r>
        <w:rPr>
          <w:sz w:val="24"/>
        </w:rPr>
        <w:t>the</w:t>
      </w:r>
      <w:r>
        <w:rPr>
          <w:spacing w:val="-3"/>
          <w:sz w:val="24"/>
        </w:rPr>
        <w:t xml:space="preserve"> </w:t>
      </w:r>
      <w:r>
        <w:rPr>
          <w:sz w:val="24"/>
        </w:rPr>
        <w:t>Lid</w:t>
      </w:r>
      <w:r>
        <w:rPr>
          <w:spacing w:val="-2"/>
          <w:sz w:val="24"/>
        </w:rPr>
        <w:t xml:space="preserve"> </w:t>
      </w:r>
      <w:r>
        <w:rPr>
          <w:sz w:val="24"/>
        </w:rPr>
        <w:t>on</w:t>
      </w:r>
      <w:r>
        <w:rPr>
          <w:spacing w:val="-3"/>
          <w:sz w:val="24"/>
        </w:rPr>
        <w:t xml:space="preserve"> </w:t>
      </w:r>
      <w:r>
        <w:rPr>
          <w:sz w:val="24"/>
        </w:rPr>
        <w:t>Ghana’s</w:t>
      </w:r>
      <w:r>
        <w:rPr>
          <w:spacing w:val="-3"/>
          <w:sz w:val="24"/>
        </w:rPr>
        <w:t xml:space="preserve"> </w:t>
      </w:r>
      <w:r>
        <w:rPr>
          <w:sz w:val="24"/>
        </w:rPr>
        <w:t>Illegal</w:t>
      </w:r>
      <w:r>
        <w:rPr>
          <w:spacing w:val="-2"/>
          <w:sz w:val="24"/>
        </w:rPr>
        <w:t xml:space="preserve"> </w:t>
      </w:r>
      <w:r>
        <w:rPr>
          <w:sz w:val="24"/>
        </w:rPr>
        <w:t>Small-Scale</w:t>
      </w:r>
      <w:r>
        <w:rPr>
          <w:spacing w:val="-3"/>
          <w:sz w:val="24"/>
        </w:rPr>
        <w:t xml:space="preserve"> </w:t>
      </w:r>
      <w:r>
        <w:rPr>
          <w:sz w:val="24"/>
        </w:rPr>
        <w:t>Mining</w:t>
      </w:r>
      <w:r>
        <w:rPr>
          <w:spacing w:val="-57"/>
          <w:sz w:val="24"/>
        </w:rPr>
        <w:t xml:space="preserve"> </w:t>
      </w:r>
      <w:r>
        <w:rPr>
          <w:sz w:val="24"/>
        </w:rPr>
        <w:t>Problem,” The Conversation (September 25, 2019).</w:t>
      </w:r>
    </w:p>
    <w:p w14:paraId="3367445A" w14:textId="77777777" w:rsidR="00223E8C" w:rsidRDefault="00000000">
      <w:pPr>
        <w:pStyle w:val="ListParagraph"/>
        <w:numPr>
          <w:ilvl w:val="0"/>
          <w:numId w:val="1"/>
        </w:numPr>
        <w:tabs>
          <w:tab w:val="left" w:pos="820"/>
        </w:tabs>
        <w:spacing w:line="480" w:lineRule="auto"/>
        <w:ind w:right="213"/>
        <w:rPr>
          <w:sz w:val="24"/>
        </w:rPr>
      </w:pPr>
      <w:r>
        <w:rPr>
          <w:sz w:val="24"/>
        </w:rPr>
        <w:t>Crawford, G., &amp; Botchwey, G. (2019, September 25). Lifting the lid on Ghana’s illegal</w:t>
      </w:r>
      <w:r>
        <w:rPr>
          <w:spacing w:val="1"/>
          <w:sz w:val="24"/>
        </w:rPr>
        <w:t xml:space="preserve"> </w:t>
      </w:r>
      <w:r>
        <w:rPr>
          <w:sz w:val="24"/>
        </w:rPr>
        <w:t>small-scale mining problem. *The Conversation*. Retrieved from</w:t>
      </w:r>
      <w:r>
        <w:rPr>
          <w:spacing w:val="1"/>
          <w:sz w:val="24"/>
        </w:rPr>
        <w:t xml:space="preserve"> </w:t>
      </w:r>
      <w:r>
        <w:rPr>
          <w:sz w:val="24"/>
        </w:rPr>
        <w:t>https://theconversation.com/lifting-the-lid-on-ghanas-illegal-small-scale-mining-problem</w:t>
      </w:r>
    </w:p>
    <w:p w14:paraId="1BB5F02A" w14:textId="77777777" w:rsidR="00223E8C" w:rsidRDefault="00000000">
      <w:pPr>
        <w:pStyle w:val="BodyText"/>
        <w:ind w:left="820"/>
      </w:pPr>
      <w:r>
        <w:t>-12325</w:t>
      </w:r>
    </w:p>
    <w:p w14:paraId="2DCB28F7" w14:textId="77777777" w:rsidR="00223E8C" w:rsidRDefault="00223E8C">
      <w:pPr>
        <w:pStyle w:val="BodyText"/>
      </w:pPr>
    </w:p>
    <w:p w14:paraId="65EF5DED" w14:textId="77777777" w:rsidR="00223E8C" w:rsidRDefault="00000000">
      <w:pPr>
        <w:pStyle w:val="ListParagraph"/>
        <w:numPr>
          <w:ilvl w:val="0"/>
          <w:numId w:val="1"/>
        </w:numPr>
        <w:tabs>
          <w:tab w:val="left" w:pos="820"/>
        </w:tabs>
        <w:rPr>
          <w:sz w:val="24"/>
        </w:rPr>
      </w:pPr>
      <w:r>
        <w:rPr>
          <w:sz w:val="24"/>
        </w:rPr>
        <w:t>EPA-Environmental</w:t>
      </w:r>
      <w:r>
        <w:rPr>
          <w:spacing w:val="-5"/>
          <w:sz w:val="24"/>
        </w:rPr>
        <w:t xml:space="preserve"> </w:t>
      </w:r>
      <w:r>
        <w:rPr>
          <w:sz w:val="24"/>
        </w:rPr>
        <w:t>Protection</w:t>
      </w:r>
      <w:r>
        <w:rPr>
          <w:spacing w:val="-4"/>
          <w:sz w:val="24"/>
        </w:rPr>
        <w:t xml:space="preserve"> </w:t>
      </w:r>
      <w:r>
        <w:rPr>
          <w:sz w:val="24"/>
        </w:rPr>
        <w:t>Agency.</w:t>
      </w:r>
      <w:r>
        <w:rPr>
          <w:spacing w:val="-4"/>
          <w:sz w:val="24"/>
        </w:rPr>
        <w:t xml:space="preserve"> </w:t>
      </w:r>
      <w:r>
        <w:rPr>
          <w:sz w:val="24"/>
        </w:rPr>
        <w:t>(2004).</w:t>
      </w:r>
      <w:r>
        <w:rPr>
          <w:spacing w:val="-5"/>
          <w:sz w:val="24"/>
        </w:rPr>
        <w:t xml:space="preserve"> </w:t>
      </w:r>
      <w:r>
        <w:rPr>
          <w:sz w:val="24"/>
        </w:rPr>
        <w:t>Ghana</w:t>
      </w:r>
      <w:r>
        <w:rPr>
          <w:spacing w:val="-4"/>
          <w:sz w:val="24"/>
        </w:rPr>
        <w:t xml:space="preserve"> </w:t>
      </w:r>
      <w:r>
        <w:rPr>
          <w:sz w:val="24"/>
        </w:rPr>
        <w:t>state</w:t>
      </w:r>
      <w:r>
        <w:rPr>
          <w:spacing w:val="-4"/>
          <w:sz w:val="24"/>
        </w:rPr>
        <w:t xml:space="preserve"> </w:t>
      </w:r>
      <w:r>
        <w:rPr>
          <w:sz w:val="24"/>
        </w:rPr>
        <w:t>of</w:t>
      </w:r>
      <w:r>
        <w:rPr>
          <w:spacing w:val="-5"/>
          <w:sz w:val="24"/>
        </w:rPr>
        <w:t xml:space="preserve"> </w:t>
      </w:r>
      <w:r>
        <w:rPr>
          <w:sz w:val="24"/>
        </w:rPr>
        <w:t>the</w:t>
      </w:r>
      <w:r>
        <w:rPr>
          <w:spacing w:val="-4"/>
          <w:sz w:val="24"/>
        </w:rPr>
        <w:t xml:space="preserve"> </w:t>
      </w:r>
      <w:r>
        <w:rPr>
          <w:sz w:val="24"/>
        </w:rPr>
        <w:t>environment</w:t>
      </w:r>
      <w:r>
        <w:rPr>
          <w:spacing w:val="-4"/>
          <w:sz w:val="24"/>
        </w:rPr>
        <w:t xml:space="preserve"> </w:t>
      </w:r>
      <w:r>
        <w:rPr>
          <w:sz w:val="24"/>
        </w:rPr>
        <w:t>report.</w:t>
      </w:r>
    </w:p>
    <w:p w14:paraId="2AF330E7" w14:textId="77777777" w:rsidR="00223E8C" w:rsidRDefault="00223E8C">
      <w:pPr>
        <w:pStyle w:val="BodyText"/>
      </w:pPr>
    </w:p>
    <w:p w14:paraId="4EA7E5A9" w14:textId="77777777" w:rsidR="00223E8C" w:rsidRDefault="00000000">
      <w:pPr>
        <w:pStyle w:val="BodyText"/>
        <w:ind w:left="820"/>
      </w:pPr>
      <w:r>
        <w:t>EPA</w:t>
      </w:r>
      <w:r>
        <w:rPr>
          <w:spacing w:val="-8"/>
        </w:rPr>
        <w:t xml:space="preserve"> </w:t>
      </w:r>
      <w:r>
        <w:t>Ghana,</w:t>
      </w:r>
      <w:r>
        <w:rPr>
          <w:spacing w:val="-7"/>
        </w:rPr>
        <w:t xml:space="preserve"> </w:t>
      </w:r>
      <w:r>
        <w:t>Accra,</w:t>
      </w:r>
      <w:r>
        <w:rPr>
          <w:spacing w:val="-8"/>
        </w:rPr>
        <w:t xml:space="preserve"> </w:t>
      </w:r>
      <w:r>
        <w:t>11–51.</w:t>
      </w:r>
    </w:p>
    <w:p w14:paraId="1A2252C6" w14:textId="77777777" w:rsidR="00223E8C" w:rsidRDefault="00223E8C">
      <w:pPr>
        <w:sectPr w:rsidR="00223E8C">
          <w:pgSz w:w="12240" w:h="15840"/>
          <w:pgMar w:top="1380" w:right="1300" w:bottom="1000" w:left="1340" w:header="0" w:footer="804" w:gutter="0"/>
          <w:cols w:space="720"/>
        </w:sectPr>
      </w:pPr>
    </w:p>
    <w:p w14:paraId="31CE2942" w14:textId="77777777" w:rsidR="00223E8C" w:rsidRDefault="00000000">
      <w:pPr>
        <w:pStyle w:val="ListParagraph"/>
        <w:numPr>
          <w:ilvl w:val="0"/>
          <w:numId w:val="1"/>
        </w:numPr>
        <w:tabs>
          <w:tab w:val="left" w:pos="820"/>
        </w:tabs>
        <w:spacing w:before="60" w:line="480" w:lineRule="auto"/>
        <w:ind w:right="828"/>
        <w:rPr>
          <w:sz w:val="24"/>
        </w:rPr>
      </w:pPr>
      <w:r>
        <w:rPr>
          <w:sz w:val="24"/>
        </w:rPr>
        <w:lastRenderedPageBreak/>
        <w:t>Food</w:t>
      </w:r>
      <w:r>
        <w:rPr>
          <w:spacing w:val="-4"/>
          <w:sz w:val="24"/>
        </w:rPr>
        <w:t xml:space="preserve"> </w:t>
      </w:r>
      <w:r>
        <w:rPr>
          <w:sz w:val="24"/>
        </w:rPr>
        <w:t>and</w:t>
      </w:r>
      <w:r>
        <w:rPr>
          <w:spacing w:val="-4"/>
          <w:sz w:val="24"/>
        </w:rPr>
        <w:t xml:space="preserve"> </w:t>
      </w:r>
      <w:r>
        <w:rPr>
          <w:sz w:val="24"/>
        </w:rPr>
        <w:t>Agriculture</w:t>
      </w:r>
      <w:r>
        <w:rPr>
          <w:spacing w:val="-4"/>
          <w:sz w:val="24"/>
        </w:rPr>
        <w:t xml:space="preserve"> </w:t>
      </w:r>
      <w:r>
        <w:rPr>
          <w:sz w:val="24"/>
        </w:rPr>
        <w:t>Organization</w:t>
      </w:r>
      <w:r>
        <w:rPr>
          <w:spacing w:val="-4"/>
          <w:sz w:val="24"/>
        </w:rPr>
        <w:t xml:space="preserve"> </w:t>
      </w:r>
      <w:r>
        <w:rPr>
          <w:sz w:val="24"/>
        </w:rPr>
        <w:t>(FAO).</w:t>
      </w:r>
      <w:r>
        <w:rPr>
          <w:spacing w:val="-4"/>
          <w:sz w:val="24"/>
        </w:rPr>
        <w:t xml:space="preserve"> </w:t>
      </w:r>
      <w:r>
        <w:rPr>
          <w:sz w:val="24"/>
        </w:rPr>
        <w:t>(2023).</w:t>
      </w:r>
      <w:r>
        <w:rPr>
          <w:spacing w:val="-4"/>
          <w:sz w:val="24"/>
        </w:rPr>
        <w:t xml:space="preserve"> </w:t>
      </w:r>
      <w:r>
        <w:rPr>
          <w:sz w:val="24"/>
        </w:rPr>
        <w:t>*FRA</w:t>
      </w:r>
      <w:r>
        <w:rPr>
          <w:spacing w:val="-4"/>
          <w:sz w:val="24"/>
        </w:rPr>
        <w:t xml:space="preserve"> </w:t>
      </w:r>
      <w:r>
        <w:rPr>
          <w:sz w:val="24"/>
        </w:rPr>
        <w:t>2025</w:t>
      </w:r>
      <w:r>
        <w:rPr>
          <w:spacing w:val="-3"/>
          <w:sz w:val="24"/>
        </w:rPr>
        <w:t xml:space="preserve"> </w:t>
      </w:r>
      <w:r>
        <w:rPr>
          <w:sz w:val="24"/>
        </w:rPr>
        <w:t>reporting</w:t>
      </w:r>
      <w:r>
        <w:rPr>
          <w:spacing w:val="-4"/>
          <w:sz w:val="24"/>
        </w:rPr>
        <w:t xml:space="preserve"> </w:t>
      </w:r>
      <w:r>
        <w:rPr>
          <w:sz w:val="24"/>
        </w:rPr>
        <w:t>started</w:t>
      </w:r>
      <w:r>
        <w:rPr>
          <w:spacing w:val="-4"/>
          <w:sz w:val="24"/>
        </w:rPr>
        <w:t xml:space="preserve"> </w:t>
      </w:r>
      <w:r>
        <w:rPr>
          <w:sz w:val="24"/>
        </w:rPr>
        <w:t>in</w:t>
      </w:r>
      <w:r>
        <w:rPr>
          <w:spacing w:val="-57"/>
          <w:sz w:val="24"/>
        </w:rPr>
        <w:t xml:space="preserve"> </w:t>
      </w:r>
      <w:r>
        <w:rPr>
          <w:sz w:val="24"/>
        </w:rPr>
        <w:t>Africa*. Retrieved from</w:t>
      </w:r>
    </w:p>
    <w:p w14:paraId="4D118CB6" w14:textId="77777777" w:rsidR="00223E8C" w:rsidRDefault="00223E8C">
      <w:pPr>
        <w:pStyle w:val="BodyText"/>
        <w:ind w:left="820"/>
      </w:pPr>
      <w:hyperlink r:id="rId20">
        <w:r>
          <w:t>https://www</w:t>
        </w:r>
      </w:hyperlink>
      <w:r w:rsidR="00000000">
        <w:t>.fao.or</w:t>
      </w:r>
      <w:hyperlink r:id="rId21">
        <w:r>
          <w:t>g/forest-resources-assessment/fra-2025-reporting-started-in-africa/en/</w:t>
        </w:r>
      </w:hyperlink>
    </w:p>
    <w:p w14:paraId="355003C0" w14:textId="77777777" w:rsidR="00223E8C" w:rsidRDefault="00223E8C">
      <w:pPr>
        <w:pStyle w:val="BodyText"/>
      </w:pPr>
    </w:p>
    <w:p w14:paraId="59ACAA3A" w14:textId="77777777" w:rsidR="00223E8C" w:rsidRDefault="00000000">
      <w:pPr>
        <w:pStyle w:val="ListParagraph"/>
        <w:numPr>
          <w:ilvl w:val="0"/>
          <w:numId w:val="1"/>
        </w:numPr>
        <w:tabs>
          <w:tab w:val="left" w:pos="820"/>
        </w:tabs>
        <w:spacing w:line="480" w:lineRule="auto"/>
        <w:ind w:right="171"/>
        <w:rPr>
          <w:sz w:val="24"/>
        </w:rPr>
      </w:pPr>
      <w:r>
        <w:rPr>
          <w:sz w:val="24"/>
        </w:rPr>
        <w:t>Koranteng,</w:t>
      </w:r>
      <w:r>
        <w:rPr>
          <w:spacing w:val="-3"/>
          <w:sz w:val="24"/>
        </w:rPr>
        <w:t xml:space="preserve"> </w:t>
      </w:r>
      <w:r>
        <w:rPr>
          <w:sz w:val="24"/>
        </w:rPr>
        <w:t>A.,</w:t>
      </w:r>
      <w:r>
        <w:rPr>
          <w:spacing w:val="-3"/>
          <w:sz w:val="24"/>
        </w:rPr>
        <w:t xml:space="preserve"> </w:t>
      </w:r>
      <w:r>
        <w:rPr>
          <w:sz w:val="24"/>
        </w:rPr>
        <w:t>&amp;</w:t>
      </w:r>
      <w:r>
        <w:rPr>
          <w:spacing w:val="-3"/>
          <w:sz w:val="24"/>
        </w:rPr>
        <w:t xml:space="preserve"> </w:t>
      </w:r>
      <w:r>
        <w:rPr>
          <w:sz w:val="24"/>
        </w:rPr>
        <w:t>Zawila-Niedzwiecki,</w:t>
      </w:r>
      <w:r>
        <w:rPr>
          <w:spacing w:val="-3"/>
          <w:sz w:val="24"/>
        </w:rPr>
        <w:t xml:space="preserve"> </w:t>
      </w:r>
      <w:r>
        <w:rPr>
          <w:sz w:val="24"/>
        </w:rPr>
        <w:t>T.</w:t>
      </w:r>
      <w:r>
        <w:rPr>
          <w:spacing w:val="-3"/>
          <w:sz w:val="24"/>
        </w:rPr>
        <w:t xml:space="preserve"> </w:t>
      </w:r>
      <w:r>
        <w:rPr>
          <w:sz w:val="24"/>
        </w:rPr>
        <w:t>(2015).</w:t>
      </w:r>
      <w:r>
        <w:rPr>
          <w:spacing w:val="-3"/>
          <w:sz w:val="24"/>
        </w:rPr>
        <w:t xml:space="preserve"> </w:t>
      </w:r>
      <w:r>
        <w:rPr>
          <w:sz w:val="24"/>
        </w:rPr>
        <w:t>Modeling</w:t>
      </w:r>
      <w:r>
        <w:rPr>
          <w:spacing w:val="-3"/>
          <w:sz w:val="24"/>
        </w:rPr>
        <w:t xml:space="preserve"> </w:t>
      </w:r>
      <w:r>
        <w:rPr>
          <w:sz w:val="24"/>
        </w:rPr>
        <w:t>forest</w:t>
      </w:r>
      <w:r>
        <w:rPr>
          <w:spacing w:val="-2"/>
          <w:sz w:val="24"/>
        </w:rPr>
        <w:t xml:space="preserve"> </w:t>
      </w:r>
      <w:r>
        <w:rPr>
          <w:sz w:val="24"/>
        </w:rPr>
        <w:t>loss</w:t>
      </w:r>
      <w:r>
        <w:rPr>
          <w:spacing w:val="-3"/>
          <w:sz w:val="24"/>
        </w:rPr>
        <w:t xml:space="preserve"> </w:t>
      </w:r>
      <w:r>
        <w:rPr>
          <w:sz w:val="24"/>
        </w:rPr>
        <w:t>and</w:t>
      </w:r>
      <w:r>
        <w:rPr>
          <w:spacing w:val="-3"/>
          <w:sz w:val="24"/>
        </w:rPr>
        <w:t xml:space="preserve"> </w:t>
      </w:r>
      <w:r>
        <w:rPr>
          <w:sz w:val="24"/>
        </w:rPr>
        <w:t>other</w:t>
      </w:r>
      <w:r>
        <w:rPr>
          <w:spacing w:val="-3"/>
          <w:sz w:val="24"/>
        </w:rPr>
        <w:t xml:space="preserve"> </w:t>
      </w:r>
      <w:r>
        <w:rPr>
          <w:sz w:val="24"/>
        </w:rPr>
        <w:t>land</w:t>
      </w:r>
      <w:r>
        <w:rPr>
          <w:spacing w:val="-3"/>
          <w:sz w:val="24"/>
        </w:rPr>
        <w:t xml:space="preserve"> </w:t>
      </w:r>
      <w:r>
        <w:rPr>
          <w:sz w:val="24"/>
        </w:rPr>
        <w:t>use</w:t>
      </w:r>
      <w:r>
        <w:rPr>
          <w:spacing w:val="-57"/>
          <w:sz w:val="24"/>
        </w:rPr>
        <w:t xml:space="preserve"> </w:t>
      </w:r>
      <w:r>
        <w:rPr>
          <w:sz w:val="24"/>
        </w:rPr>
        <w:t xml:space="preserve">change dynamics in the Ashanti Region of Ghana. *Folia </w:t>
      </w:r>
      <w:proofErr w:type="spellStart"/>
      <w:r>
        <w:rPr>
          <w:sz w:val="24"/>
        </w:rPr>
        <w:t>Forestalia</w:t>
      </w:r>
      <w:proofErr w:type="spellEnd"/>
      <w:r>
        <w:rPr>
          <w:sz w:val="24"/>
        </w:rPr>
        <w:t xml:space="preserve"> Polonica, Series A,</w:t>
      </w:r>
      <w:r>
        <w:rPr>
          <w:spacing w:val="1"/>
          <w:sz w:val="24"/>
        </w:rPr>
        <w:t xml:space="preserve"> </w:t>
      </w:r>
      <w:r>
        <w:rPr>
          <w:sz w:val="24"/>
        </w:rPr>
        <w:t>57*(2),</w:t>
      </w:r>
      <w:r>
        <w:rPr>
          <w:spacing w:val="-1"/>
          <w:sz w:val="24"/>
        </w:rPr>
        <w:t xml:space="preserve"> </w:t>
      </w:r>
      <w:r>
        <w:rPr>
          <w:sz w:val="24"/>
        </w:rPr>
        <w:t>97. https://doi.org/10.1515/ffp-2015-0010</w:t>
      </w:r>
    </w:p>
    <w:p w14:paraId="500B45DE" w14:textId="77777777" w:rsidR="00223E8C" w:rsidRDefault="00000000">
      <w:pPr>
        <w:pStyle w:val="ListParagraph"/>
        <w:numPr>
          <w:ilvl w:val="0"/>
          <w:numId w:val="1"/>
        </w:numPr>
        <w:tabs>
          <w:tab w:val="left" w:pos="820"/>
        </w:tabs>
        <w:spacing w:line="480" w:lineRule="auto"/>
        <w:ind w:right="1219"/>
        <w:rPr>
          <w:sz w:val="24"/>
        </w:rPr>
      </w:pPr>
      <w:r>
        <w:rPr>
          <w:sz w:val="24"/>
        </w:rPr>
        <w:t>Peprah, K. K. (n.d.). Impact of mining activities on deforestation in the mining</w:t>
      </w:r>
      <w:r>
        <w:rPr>
          <w:spacing w:val="-58"/>
          <w:sz w:val="24"/>
        </w:rPr>
        <w:t xml:space="preserve"> </w:t>
      </w:r>
      <w:r>
        <w:rPr>
          <w:sz w:val="24"/>
        </w:rPr>
        <w:t>communities</w:t>
      </w:r>
      <w:r>
        <w:rPr>
          <w:spacing w:val="-2"/>
          <w:sz w:val="24"/>
        </w:rPr>
        <w:t xml:space="preserve"> </w:t>
      </w:r>
      <w:r>
        <w:rPr>
          <w:sz w:val="24"/>
        </w:rPr>
        <w:t>of</w:t>
      </w:r>
      <w:r>
        <w:rPr>
          <w:spacing w:val="-1"/>
          <w:sz w:val="24"/>
        </w:rPr>
        <w:t xml:space="preserve"> </w:t>
      </w:r>
      <w:r>
        <w:rPr>
          <w:sz w:val="24"/>
        </w:rPr>
        <w:t>Ghana:</w:t>
      </w:r>
      <w:r>
        <w:rPr>
          <w:spacing w:val="-2"/>
          <w:sz w:val="24"/>
        </w:rPr>
        <w:t xml:space="preserve"> </w:t>
      </w:r>
      <w:r>
        <w:rPr>
          <w:sz w:val="24"/>
        </w:rPr>
        <w:t>The</w:t>
      </w:r>
      <w:r>
        <w:rPr>
          <w:spacing w:val="-1"/>
          <w:sz w:val="24"/>
        </w:rPr>
        <w:t xml:space="preserve"> </w:t>
      </w:r>
      <w:r>
        <w:rPr>
          <w:sz w:val="24"/>
        </w:rPr>
        <w:t>case</w:t>
      </w:r>
      <w:r>
        <w:rPr>
          <w:spacing w:val="-2"/>
          <w:sz w:val="24"/>
        </w:rPr>
        <w:t xml:space="preserve"> </w:t>
      </w:r>
      <w:r>
        <w:rPr>
          <w:sz w:val="24"/>
        </w:rPr>
        <w:t>of</w:t>
      </w:r>
      <w:r>
        <w:rPr>
          <w:spacing w:val="-1"/>
          <w:sz w:val="24"/>
        </w:rPr>
        <w:t xml:space="preserve"> </w:t>
      </w:r>
      <w:r>
        <w:rPr>
          <w:sz w:val="24"/>
        </w:rPr>
        <w:t>Obuasi</w:t>
      </w:r>
      <w:r>
        <w:rPr>
          <w:spacing w:val="-2"/>
          <w:sz w:val="24"/>
        </w:rPr>
        <w:t xml:space="preserve"> </w:t>
      </w:r>
      <w:r>
        <w:rPr>
          <w:sz w:val="24"/>
        </w:rPr>
        <w:t>(Doctoral</w:t>
      </w:r>
      <w:r>
        <w:rPr>
          <w:spacing w:val="-1"/>
          <w:sz w:val="24"/>
        </w:rPr>
        <w:t xml:space="preserve"> </w:t>
      </w:r>
      <w:r>
        <w:rPr>
          <w:sz w:val="24"/>
        </w:rPr>
        <w:t>dissertation).</w:t>
      </w:r>
      <w:r>
        <w:rPr>
          <w:spacing w:val="-1"/>
          <w:sz w:val="24"/>
        </w:rPr>
        <w:t xml:space="preserve"> </w:t>
      </w:r>
      <w:r>
        <w:rPr>
          <w:sz w:val="24"/>
        </w:rPr>
        <w:t>KNUST.</w:t>
      </w:r>
    </w:p>
    <w:p w14:paraId="5B842479" w14:textId="77777777" w:rsidR="00223E8C" w:rsidRDefault="00000000">
      <w:pPr>
        <w:pStyle w:val="ListParagraph"/>
        <w:numPr>
          <w:ilvl w:val="0"/>
          <w:numId w:val="1"/>
        </w:numPr>
        <w:tabs>
          <w:tab w:val="left" w:pos="820"/>
        </w:tabs>
        <w:spacing w:line="480" w:lineRule="auto"/>
        <w:ind w:right="2024"/>
        <w:rPr>
          <w:sz w:val="24"/>
        </w:rPr>
      </w:pPr>
      <w:r>
        <w:rPr>
          <w:sz w:val="24"/>
        </w:rPr>
        <w:t>Rosen,</w:t>
      </w:r>
      <w:r>
        <w:rPr>
          <w:spacing w:val="-3"/>
          <w:sz w:val="24"/>
        </w:rPr>
        <w:t xml:space="preserve"> </w:t>
      </w:r>
      <w:r>
        <w:rPr>
          <w:sz w:val="24"/>
        </w:rPr>
        <w:t>J.</w:t>
      </w:r>
      <w:r>
        <w:rPr>
          <w:spacing w:val="-3"/>
          <w:sz w:val="24"/>
        </w:rPr>
        <w:t xml:space="preserve"> </w:t>
      </w:r>
      <w:r>
        <w:rPr>
          <w:sz w:val="24"/>
        </w:rPr>
        <w:t>(2021).</w:t>
      </w:r>
      <w:r>
        <w:rPr>
          <w:spacing w:val="-2"/>
          <w:sz w:val="24"/>
        </w:rPr>
        <w:t xml:space="preserve"> </w:t>
      </w:r>
      <w:r>
        <w:rPr>
          <w:sz w:val="24"/>
        </w:rPr>
        <w:t>Deforestation</w:t>
      </w:r>
      <w:r>
        <w:rPr>
          <w:spacing w:val="-3"/>
          <w:sz w:val="24"/>
        </w:rPr>
        <w:t xml:space="preserve"> </w:t>
      </w:r>
      <w:r>
        <w:rPr>
          <w:sz w:val="24"/>
        </w:rPr>
        <w:t>in</w:t>
      </w:r>
      <w:r>
        <w:rPr>
          <w:spacing w:val="-2"/>
          <w:sz w:val="24"/>
        </w:rPr>
        <w:t xml:space="preserve"> </w:t>
      </w:r>
      <w:r>
        <w:rPr>
          <w:sz w:val="24"/>
        </w:rPr>
        <w:t>Africa.</w:t>
      </w:r>
      <w:r>
        <w:rPr>
          <w:spacing w:val="-3"/>
          <w:sz w:val="24"/>
        </w:rPr>
        <w:t xml:space="preserve"> </w:t>
      </w:r>
      <w:r>
        <w:rPr>
          <w:sz w:val="24"/>
        </w:rPr>
        <w:t>*Earth.org*.</w:t>
      </w:r>
      <w:r>
        <w:rPr>
          <w:spacing w:val="-2"/>
          <w:sz w:val="24"/>
        </w:rPr>
        <w:t xml:space="preserve"> </w:t>
      </w:r>
      <w:r>
        <w:rPr>
          <w:sz w:val="24"/>
        </w:rPr>
        <w:t>Retrieved</w:t>
      </w:r>
      <w:r>
        <w:rPr>
          <w:spacing w:val="-3"/>
          <w:sz w:val="24"/>
        </w:rPr>
        <w:t xml:space="preserve"> </w:t>
      </w:r>
      <w:r>
        <w:rPr>
          <w:sz w:val="24"/>
        </w:rPr>
        <w:t>from</w:t>
      </w:r>
      <w:r>
        <w:rPr>
          <w:spacing w:val="-57"/>
          <w:sz w:val="24"/>
        </w:rPr>
        <w:t xml:space="preserve"> </w:t>
      </w:r>
      <w:r>
        <w:rPr>
          <w:sz w:val="24"/>
        </w:rPr>
        <w:t>https://earth.org/deforestation-in-africa/</w:t>
      </w:r>
    </w:p>
    <w:sectPr w:rsidR="00223E8C">
      <w:pgSz w:w="12240" w:h="15840"/>
      <w:pgMar w:top="1380" w:right="1300" w:bottom="1000" w:left="1340" w:header="0" w:footer="8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4768CE" w14:textId="77777777" w:rsidR="004835BC" w:rsidRDefault="004835BC">
      <w:r>
        <w:separator/>
      </w:r>
    </w:p>
  </w:endnote>
  <w:endnote w:type="continuationSeparator" w:id="0">
    <w:p w14:paraId="0719BD07" w14:textId="77777777" w:rsidR="004835BC" w:rsidRDefault="00483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F11A4E" w14:textId="41E9CE00" w:rsidR="00223E8C" w:rsidRDefault="00252BB5">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758E90F4" wp14:editId="63067AE6">
              <wp:simplePos x="0" y="0"/>
              <wp:positionH relativeFrom="page">
                <wp:posOffset>6664325</wp:posOffset>
              </wp:positionH>
              <wp:positionV relativeFrom="page">
                <wp:posOffset>9408160</wp:posOffset>
              </wp:positionV>
              <wp:extent cx="231775" cy="181610"/>
              <wp:effectExtent l="0" t="0" r="0" b="0"/>
              <wp:wrapNone/>
              <wp:docPr id="26233285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9B9D6" w14:textId="77777777" w:rsidR="00223E8C" w:rsidRDefault="00000000">
                          <w:pPr>
                            <w:spacing w:before="13"/>
                            <w:ind w:left="60"/>
                            <w:rPr>
                              <w:rFonts w:ascii="Arial MT"/>
                            </w:rPr>
                          </w:pPr>
                          <w:r>
                            <w:fldChar w:fldCharType="begin"/>
                          </w:r>
                          <w:r>
                            <w:rPr>
                              <w:rFonts w:ascii="Arial MT"/>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8E90F4" id="_x0000_t202" coordsize="21600,21600" o:spt="202" path="m,l,21600r21600,l21600,xe">
              <v:stroke joinstyle="miter"/>
              <v:path gradientshapeok="t" o:connecttype="rect"/>
            </v:shapetype>
            <v:shape id="Text Box 1" o:spid="_x0000_s1026" type="#_x0000_t202" style="position:absolute;margin-left:524.75pt;margin-top:740.8pt;width:18.25pt;height:14.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" filled="f" stroked="f">
              <v:textbox inset="0,0,0,0">
                <w:txbxContent>
                  <w:p w14:paraId="5D39B9D6" w14:textId="77777777" w:rsidR="00223E8C" w:rsidRDefault="00000000">
                    <w:pPr>
                      <w:spacing w:before="13"/>
                      <w:ind w:left="60"/>
                      <w:rPr>
                        <w:rFonts w:ascii="Arial MT"/>
                      </w:rPr>
                    </w:pPr>
                    <w:r>
                      <w:fldChar w:fldCharType="begin"/>
                    </w:r>
                    <w:r>
                      <w:rPr>
                        <w:rFonts w:ascii="Arial MT"/>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FC6A94" w14:textId="77777777" w:rsidR="004835BC" w:rsidRDefault="004835BC">
      <w:r>
        <w:separator/>
      </w:r>
    </w:p>
  </w:footnote>
  <w:footnote w:type="continuationSeparator" w:id="0">
    <w:p w14:paraId="313420B4" w14:textId="77777777" w:rsidR="004835BC" w:rsidRDefault="004835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3325AF"/>
    <w:multiLevelType w:val="hybridMultilevel"/>
    <w:tmpl w:val="A2AE7B90"/>
    <w:lvl w:ilvl="0" w:tplc="E25435FC">
      <w:start w:val="1"/>
      <w:numFmt w:val="decimal"/>
      <w:lvlText w:val="%1."/>
      <w:lvlJc w:val="left"/>
      <w:pPr>
        <w:ind w:left="820" w:hanging="360"/>
        <w:jc w:val="left"/>
      </w:pPr>
      <w:rPr>
        <w:rFonts w:ascii="Times New Roman" w:eastAsia="Times New Roman" w:hAnsi="Times New Roman" w:cs="Times New Roman" w:hint="default"/>
        <w:w w:val="100"/>
        <w:sz w:val="24"/>
        <w:szCs w:val="24"/>
        <w:lang w:val="en-US" w:eastAsia="en-US" w:bidi="ar-SA"/>
      </w:rPr>
    </w:lvl>
    <w:lvl w:ilvl="1" w:tplc="95A6AEA4">
      <w:numFmt w:val="bullet"/>
      <w:lvlText w:val="•"/>
      <w:lvlJc w:val="left"/>
      <w:pPr>
        <w:ind w:left="1698" w:hanging="360"/>
      </w:pPr>
      <w:rPr>
        <w:rFonts w:hint="default"/>
        <w:lang w:val="en-US" w:eastAsia="en-US" w:bidi="ar-SA"/>
      </w:rPr>
    </w:lvl>
    <w:lvl w:ilvl="2" w:tplc="4F3E7192">
      <w:numFmt w:val="bullet"/>
      <w:lvlText w:val="•"/>
      <w:lvlJc w:val="left"/>
      <w:pPr>
        <w:ind w:left="2576" w:hanging="360"/>
      </w:pPr>
      <w:rPr>
        <w:rFonts w:hint="default"/>
        <w:lang w:val="en-US" w:eastAsia="en-US" w:bidi="ar-SA"/>
      </w:rPr>
    </w:lvl>
    <w:lvl w:ilvl="3" w:tplc="6BB8CB4A">
      <w:numFmt w:val="bullet"/>
      <w:lvlText w:val="•"/>
      <w:lvlJc w:val="left"/>
      <w:pPr>
        <w:ind w:left="3454" w:hanging="360"/>
      </w:pPr>
      <w:rPr>
        <w:rFonts w:hint="default"/>
        <w:lang w:val="en-US" w:eastAsia="en-US" w:bidi="ar-SA"/>
      </w:rPr>
    </w:lvl>
    <w:lvl w:ilvl="4" w:tplc="6BC6F534">
      <w:numFmt w:val="bullet"/>
      <w:lvlText w:val="•"/>
      <w:lvlJc w:val="left"/>
      <w:pPr>
        <w:ind w:left="4332" w:hanging="360"/>
      </w:pPr>
      <w:rPr>
        <w:rFonts w:hint="default"/>
        <w:lang w:val="en-US" w:eastAsia="en-US" w:bidi="ar-SA"/>
      </w:rPr>
    </w:lvl>
    <w:lvl w:ilvl="5" w:tplc="890E4DF0">
      <w:numFmt w:val="bullet"/>
      <w:lvlText w:val="•"/>
      <w:lvlJc w:val="left"/>
      <w:pPr>
        <w:ind w:left="5210" w:hanging="360"/>
      </w:pPr>
      <w:rPr>
        <w:rFonts w:hint="default"/>
        <w:lang w:val="en-US" w:eastAsia="en-US" w:bidi="ar-SA"/>
      </w:rPr>
    </w:lvl>
    <w:lvl w:ilvl="6" w:tplc="64323B1E">
      <w:numFmt w:val="bullet"/>
      <w:lvlText w:val="•"/>
      <w:lvlJc w:val="left"/>
      <w:pPr>
        <w:ind w:left="6088" w:hanging="360"/>
      </w:pPr>
      <w:rPr>
        <w:rFonts w:hint="default"/>
        <w:lang w:val="en-US" w:eastAsia="en-US" w:bidi="ar-SA"/>
      </w:rPr>
    </w:lvl>
    <w:lvl w:ilvl="7" w:tplc="3B8E05F6">
      <w:numFmt w:val="bullet"/>
      <w:lvlText w:val="•"/>
      <w:lvlJc w:val="left"/>
      <w:pPr>
        <w:ind w:left="6966" w:hanging="360"/>
      </w:pPr>
      <w:rPr>
        <w:rFonts w:hint="default"/>
        <w:lang w:val="en-US" w:eastAsia="en-US" w:bidi="ar-SA"/>
      </w:rPr>
    </w:lvl>
    <w:lvl w:ilvl="8" w:tplc="0E287724">
      <w:numFmt w:val="bullet"/>
      <w:lvlText w:val="•"/>
      <w:lvlJc w:val="left"/>
      <w:pPr>
        <w:ind w:left="7844" w:hanging="360"/>
      </w:pPr>
      <w:rPr>
        <w:rFonts w:hint="default"/>
        <w:lang w:val="en-US" w:eastAsia="en-US" w:bidi="ar-SA"/>
      </w:rPr>
    </w:lvl>
  </w:abstractNum>
  <w:num w:numId="1" w16cid:durableId="1348019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characterSpacingControl w:val="doNotCompress"/>
  <w:hdrShapeDefaults>
    <o:shapedefaults v:ext="edit" spidmax="2057"/>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23E8C"/>
    <w:rsid w:val="00223E8C"/>
    <w:rsid w:val="00251DED"/>
    <w:rsid w:val="00252BB5"/>
    <w:rsid w:val="004835BC"/>
    <w:rsid w:val="005049E3"/>
    <w:rsid w:val="005B545A"/>
    <w:rsid w:val="008044B0"/>
    <w:rsid w:val="008B10E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2"/>
    </o:shapelayout>
  </w:shapeDefaults>
  <w:decimalSymbol w:val="."/>
  <w:listSeparator w:val=","/>
  <w14:docId w14:val="2FBB7002"/>
  <w15:docId w15:val="{B00D7D41-0CDD-4A3B-B8A5-7F1A79353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0"/>
      <w:outlineLvl w:val="0"/>
    </w:pPr>
    <w:rPr>
      <w:b/>
      <w:bCs/>
      <w:sz w:val="26"/>
      <w:szCs w:val="26"/>
    </w:rPr>
  </w:style>
  <w:style w:type="paragraph" w:styleId="Heading2">
    <w:name w:val="heading 2"/>
    <w:basedOn w:val="Normal"/>
    <w:uiPriority w:val="9"/>
    <w:unhideWhenUsed/>
    <w:qFormat/>
    <w:pPr>
      <w:spacing w:before="60"/>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hyperlink" Target="http://www.fao.org/forest-resources-assessment/fra-2025-reporting-started-in-africa/en/" TargetMode="External"/><Relationship Id="rId7" Type="http://schemas.openxmlformats.org/officeDocument/2006/relationships/footer" Target="footer1.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hyperlink" Target="http://www.fao.org/forest-resources-assessment/fra-2025-reporting-started-in-africa/e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www.africaportal.org/articles/2013/01/16/impact-deforestationforest-livelihoods-gh"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3550</Words>
  <Characters>20235</Characters>
  <Application>Microsoft Office Word</Application>
  <DocSecurity>0</DocSecurity>
  <Lines>168</Lines>
  <Paragraphs>47</Paragraphs>
  <ScaleCrop>false</ScaleCrop>
  <Company/>
  <LinksUpToDate>false</LinksUpToDate>
  <CharactersWithSpaces>23738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Blessed Appiah (Obuasi - NDVI)</dc:title>
  <cp:lastModifiedBy>appiahblessed5@gmail.com</cp:lastModifiedBy>
  <cp:revision>3</cp:revision>
  <dcterms:created xsi:type="dcterms:W3CDTF">2024-12-11T16:30:00Z</dcterms:created>
  <dcterms:modified xsi:type="dcterms:W3CDTF">2024-12-11T16:34:00Z</dcterms:modified>
</cp:coreProperties>
</file>